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960"/>
        <w:rPr>
          <w:rFonts w:hint="eastAsia" w:ascii="黑体" w:hAnsi="黑体" w:eastAsia="黑体" w:cs="仿宋_GB2312"/>
          <w:bCs/>
          <w:sz w:val="32"/>
          <w:szCs w:val="32"/>
          <w:lang w:val="en-US" w:eastAsia="zh-CN"/>
        </w:rPr>
      </w:pPr>
      <w:r>
        <w:rPr>
          <w:rFonts w:hint="eastAsia" w:ascii="黑体" w:hAnsi="黑体" w:eastAsia="黑体" w:cs="仿宋_GB2312"/>
          <w:bCs/>
          <w:sz w:val="32"/>
          <w:szCs w:val="32"/>
        </w:rPr>
        <w:t>附件</w:t>
      </w:r>
      <w:r>
        <w:rPr>
          <w:rFonts w:hint="eastAsia" w:ascii="黑体" w:hAnsi="黑体" w:eastAsia="黑体" w:cs="仿宋_GB2312"/>
          <w:bCs/>
          <w:sz w:val="32"/>
          <w:szCs w:val="32"/>
          <w:lang w:val="en-US" w:eastAsia="zh-CN"/>
        </w:rPr>
        <w:t>3</w:t>
      </w:r>
      <w:r>
        <w:rPr>
          <w:rFonts w:ascii="黑体" w:hAnsi="黑体" w:eastAsia="黑体" w:cs="仿宋_GB2312"/>
          <w:bCs/>
          <w:sz w:val="32"/>
          <w:szCs w:val="32"/>
        </w:rPr>
        <w:t>-</w:t>
      </w:r>
      <w:r>
        <w:rPr>
          <w:rFonts w:hint="eastAsia" w:ascii="黑体" w:hAnsi="黑体" w:eastAsia="黑体" w:cs="仿宋_GB2312"/>
          <w:bCs/>
          <w:sz w:val="32"/>
          <w:szCs w:val="32"/>
          <w:lang w:val="en-US" w:eastAsia="zh-CN"/>
        </w:rPr>
        <w:t>1</w:t>
      </w:r>
    </w:p>
    <w:p>
      <w:pPr>
        <w:wordWrap w:val="0"/>
        <w:ind w:right="960" w:firstLine="2094" w:firstLineChars="745"/>
        <w:rPr>
          <w:rFonts w:ascii="Times New Roman" w:hAnsi="Times New Roman" w:eastAsia="仿宋_GB2312" w:cs="Times New Roman"/>
          <w:b/>
          <w:bCs/>
          <w:sz w:val="32"/>
          <w:szCs w:val="32"/>
        </w:rPr>
      </w:pPr>
      <w:r>
        <w:rPr>
          <w:rFonts w:hint="eastAsia" w:ascii="Times New Roman" w:hAnsi="Times New Roman" w:eastAsia="仿宋_GB2312" w:cs="仿宋_GB2312"/>
          <w:b/>
          <w:bCs/>
          <w:kern w:val="0"/>
          <w:sz w:val="28"/>
          <w:szCs w:val="28"/>
        </w:rPr>
        <w:t xml:space="preserve"> </w:t>
      </w:r>
    </w:p>
    <w:p>
      <w:pPr>
        <w:spacing w:line="360" w:lineRule="auto"/>
        <w:rPr>
          <w:rFonts w:ascii="仿宋_GB2312" w:hAnsi="仿宋_GB2312" w:eastAsia="仿宋_GB2312" w:cs="Times New Roman"/>
          <w:b/>
          <w:bCs/>
          <w:sz w:val="44"/>
          <w:szCs w:val="44"/>
        </w:rPr>
      </w:pPr>
    </w:p>
    <w:p>
      <w:pPr>
        <w:spacing w:line="360" w:lineRule="auto"/>
        <w:rPr>
          <w:rFonts w:ascii="仿宋_GB2312" w:hAnsi="仿宋_GB2312" w:eastAsia="仿宋_GB2312" w:cs="Times New Roman"/>
          <w:b/>
          <w:bCs/>
          <w:sz w:val="44"/>
          <w:szCs w:val="44"/>
        </w:rPr>
      </w:pPr>
    </w:p>
    <w:p>
      <w:pPr>
        <w:spacing w:line="360" w:lineRule="auto"/>
        <w:rPr>
          <w:rFonts w:ascii="仿宋_GB2312" w:hAnsi="仿宋_GB2312" w:eastAsia="仿宋_GB2312" w:cs="Times New Roman"/>
          <w:b/>
          <w:bCs/>
          <w:sz w:val="44"/>
          <w:szCs w:val="44"/>
        </w:rPr>
      </w:pPr>
    </w:p>
    <w:p>
      <w:pPr>
        <w:spacing w:line="360" w:lineRule="auto"/>
        <w:rPr>
          <w:rFonts w:ascii="仿宋_GB2312" w:hAnsi="仿宋_GB2312" w:eastAsia="仿宋_GB2312" w:cs="Times New Roman"/>
          <w:b/>
          <w:bCs/>
          <w:sz w:val="44"/>
          <w:szCs w:val="44"/>
        </w:rPr>
      </w:pPr>
    </w:p>
    <w:p>
      <w:pPr>
        <w:spacing w:line="360" w:lineRule="auto"/>
        <w:rPr>
          <w:rFonts w:ascii="仿宋_GB2312" w:hAnsi="仿宋_GB2312" w:eastAsia="仿宋_GB2312" w:cs="Times New Roman"/>
          <w:b/>
          <w:bCs/>
          <w:sz w:val="44"/>
          <w:szCs w:val="44"/>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方正小标宋简体" w:hAnsi="方正小标宋简体" w:eastAsia="方正小标宋简体" w:cs="方正小标宋简体"/>
          <w:b w:val="0"/>
          <w:bCs w:val="0"/>
          <w:sz w:val="52"/>
          <w:szCs w:val="52"/>
        </w:rPr>
      </w:pPr>
      <w:r>
        <w:rPr>
          <w:rFonts w:hint="eastAsia" w:ascii="方正小标宋简体" w:hAnsi="方正小标宋简体" w:eastAsia="方正小标宋简体" w:cs="方正小标宋简体"/>
          <w:b w:val="0"/>
          <w:bCs w:val="0"/>
          <w:sz w:val="52"/>
          <w:szCs w:val="52"/>
        </w:rPr>
        <w:t>已上市化学药品药学变更研究技术</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方正小标宋简体" w:hAnsi="方正小标宋简体" w:eastAsia="方正小标宋简体" w:cs="方正小标宋简体"/>
          <w:b w:val="0"/>
          <w:bCs w:val="0"/>
          <w:sz w:val="52"/>
          <w:szCs w:val="52"/>
        </w:rPr>
      </w:pPr>
      <w:r>
        <w:rPr>
          <w:rFonts w:hint="eastAsia" w:ascii="方正小标宋简体" w:hAnsi="方正小标宋简体" w:eastAsia="方正小标宋简体" w:cs="方正小标宋简体"/>
          <w:b w:val="0"/>
          <w:bCs w:val="0"/>
          <w:sz w:val="52"/>
          <w:szCs w:val="52"/>
        </w:rPr>
        <w:t>指导原则（征求意见稿）</w:t>
      </w:r>
    </w:p>
    <w:p>
      <w:pPr>
        <w:spacing w:line="360" w:lineRule="auto"/>
        <w:rPr>
          <w:rFonts w:ascii="仿宋_GB2312" w:hAnsi="仿宋_GB2312" w:eastAsia="仿宋_GB2312" w:cs="Times New Roman"/>
          <w:b/>
          <w:bCs/>
          <w:sz w:val="44"/>
          <w:szCs w:val="44"/>
        </w:rPr>
      </w:pPr>
    </w:p>
    <w:p>
      <w:pPr>
        <w:spacing w:line="360" w:lineRule="auto"/>
        <w:rPr>
          <w:rFonts w:ascii="仿宋_GB2312" w:hAnsi="仿宋_GB2312" w:eastAsia="仿宋_GB2312" w:cs="Times New Roman"/>
          <w:b/>
          <w:bCs/>
          <w:sz w:val="44"/>
          <w:szCs w:val="44"/>
        </w:rPr>
      </w:pPr>
    </w:p>
    <w:p>
      <w:pPr>
        <w:spacing w:line="360" w:lineRule="auto"/>
        <w:rPr>
          <w:rFonts w:ascii="仿宋_GB2312" w:hAnsi="仿宋_GB2312" w:eastAsia="仿宋_GB2312" w:cs="Times New Roman"/>
          <w:b/>
          <w:bCs/>
          <w:sz w:val="44"/>
          <w:szCs w:val="44"/>
        </w:rPr>
      </w:pPr>
    </w:p>
    <w:p>
      <w:pPr>
        <w:spacing w:line="360" w:lineRule="auto"/>
        <w:rPr>
          <w:rFonts w:ascii="仿宋_GB2312" w:hAnsi="仿宋_GB2312" w:eastAsia="仿宋_GB2312" w:cs="Times New Roman"/>
          <w:b/>
          <w:bCs/>
          <w:sz w:val="44"/>
          <w:szCs w:val="44"/>
        </w:rPr>
      </w:pPr>
    </w:p>
    <w:p>
      <w:pPr>
        <w:spacing w:line="360" w:lineRule="auto"/>
        <w:rPr>
          <w:rFonts w:ascii="仿宋_GB2312" w:hAnsi="仿宋_GB2312" w:eastAsia="仿宋_GB2312" w:cs="Times New Roman"/>
          <w:b/>
          <w:bCs/>
          <w:sz w:val="44"/>
          <w:szCs w:val="44"/>
        </w:rPr>
      </w:pPr>
    </w:p>
    <w:p>
      <w:pPr>
        <w:spacing w:line="360" w:lineRule="auto"/>
        <w:rPr>
          <w:rFonts w:ascii="仿宋_GB2312" w:hAnsi="仿宋_GB2312" w:eastAsia="仿宋_GB2312" w:cs="Times New Roman"/>
          <w:b/>
          <w:bCs/>
          <w:sz w:val="44"/>
          <w:szCs w:val="44"/>
        </w:rPr>
      </w:pPr>
    </w:p>
    <w:p>
      <w:pPr>
        <w:spacing w:line="360" w:lineRule="auto"/>
        <w:rPr>
          <w:rFonts w:ascii="仿宋_GB2312" w:hAnsi="仿宋_GB2312" w:eastAsia="仿宋_GB2312" w:cs="Times New Roman"/>
          <w:b/>
          <w:bCs/>
          <w:sz w:val="44"/>
          <w:szCs w:val="44"/>
        </w:rPr>
      </w:pPr>
    </w:p>
    <w:p>
      <w:pPr>
        <w:spacing w:line="360" w:lineRule="auto"/>
        <w:rPr>
          <w:rFonts w:ascii="仿宋_GB2312" w:hAnsi="仿宋_GB2312" w:eastAsia="仿宋_GB2312" w:cs="Times New Roman"/>
          <w:b/>
          <w:bCs/>
          <w:sz w:val="44"/>
          <w:szCs w:val="44"/>
        </w:rPr>
      </w:pPr>
    </w:p>
    <w:p>
      <w:pPr>
        <w:spacing w:line="360" w:lineRule="auto"/>
        <w:rPr>
          <w:rFonts w:ascii="仿宋_GB2312" w:hAnsi="仿宋_GB2312" w:eastAsia="仿宋_GB2312" w:cs="Times New Roman"/>
          <w:b/>
          <w:bCs/>
          <w:sz w:val="44"/>
          <w:szCs w:val="44"/>
        </w:rPr>
      </w:pPr>
    </w:p>
    <w:p>
      <w:pPr>
        <w:spacing w:line="360" w:lineRule="auto"/>
        <w:rPr>
          <w:rFonts w:ascii="仿宋_GB2312" w:hAnsi="仿宋_GB2312" w:eastAsia="仿宋_GB2312" w:cs="Times New Roman"/>
          <w:b/>
          <w:bCs/>
          <w:sz w:val="44"/>
          <w:szCs w:val="44"/>
        </w:rPr>
      </w:pPr>
    </w:p>
    <w:p>
      <w:pPr>
        <w:jc w:val="center"/>
        <w:rPr>
          <w:rFonts w:hint="eastAsia" w:ascii="黑体" w:hAnsi="黑体" w:eastAsia="黑体" w:cs="黑体"/>
          <w:b w:val="0"/>
          <w:bCs w:val="0"/>
          <w:sz w:val="44"/>
          <w:szCs w:val="44"/>
        </w:rPr>
      </w:pPr>
      <w:r>
        <w:rPr>
          <w:rFonts w:hint="eastAsia" w:ascii="黑体" w:hAnsi="黑体" w:eastAsia="黑体" w:cs="黑体"/>
          <w:b w:val="0"/>
          <w:bCs w:val="0"/>
          <w:sz w:val="32"/>
          <w:szCs w:val="32"/>
        </w:rPr>
        <w:t>二〇二〇年四月</w:t>
      </w:r>
    </w:p>
    <w:p>
      <w:pPr>
        <w:rPr>
          <w:rFonts w:hint="eastAsia" w:ascii="黑体" w:hAnsi="黑体" w:eastAsia="黑体" w:cs="黑体"/>
          <w:b w:val="0"/>
          <w:bCs w:val="0"/>
          <w:sz w:val="44"/>
          <w:szCs w:val="44"/>
        </w:rPr>
        <w:sectPr>
          <w:pgSz w:w="11906" w:h="16838"/>
          <w:pgMar w:top="1440" w:right="1800" w:bottom="1440" w:left="1800" w:header="851" w:footer="992" w:gutter="0"/>
          <w:cols w:space="425" w:num="1"/>
          <w:docGrid w:type="lines" w:linePitch="312" w:charSpace="0"/>
        </w:sectPr>
      </w:pPr>
      <w:bookmarkStart w:id="37" w:name="_GoBack"/>
      <w:bookmarkEnd w:id="37"/>
    </w:p>
    <w:p>
      <w:pPr>
        <w:keepNext w:val="0"/>
        <w:keepLines w:val="0"/>
        <w:pageBreakBefore w:val="0"/>
        <w:widowControl w:val="0"/>
        <w:kinsoku/>
        <w:wordWrap/>
        <w:overflowPunct w:val="0"/>
        <w:topLinePunct w:val="0"/>
        <w:bidi w:val="0"/>
        <w:spacing w:line="360" w:lineRule="auto"/>
        <w:ind w:firstLine="562" w:firstLineChars="200"/>
        <w:outlineLvl w:val="0"/>
        <w:rPr>
          <w:rFonts w:hint="default" w:ascii="Times New Roman" w:hAnsi="Times New Roman" w:eastAsia="仿宋_GB2312" w:cs="Times New Roman"/>
          <w:b/>
          <w:sz w:val="28"/>
          <w:szCs w:val="28"/>
        </w:rPr>
      </w:pPr>
      <w:bookmarkStart w:id="0" w:name="_Toc23780470"/>
      <w:bookmarkStart w:id="1" w:name="_Toc37574302"/>
      <w:r>
        <w:rPr>
          <w:rFonts w:hint="default" w:ascii="Times New Roman" w:hAnsi="Times New Roman" w:eastAsia="仿宋_GB2312" w:cs="Times New Roman"/>
          <w:b/>
          <w:sz w:val="28"/>
          <w:szCs w:val="28"/>
        </w:rPr>
        <w:t>一、概述</w:t>
      </w:r>
      <w:bookmarkEnd w:id="0"/>
      <w:bookmarkEnd w:id="1"/>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本指导原则主要用于指导药品批准文号/登记号持有人（药品上市许可持有人、药品生产企业，以下简称持有人）开展已上市化学药品的药学变更研究。本指导原则适用于已上市化学原料药和化学制剂。</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根据变更对药品安全性、有效性和质量可控性的风险和产生影响的程度，本指导原则对所述及的变更分为三类：重大变更、中等变更、微小变更。对药品的安全性、有效性或质量可控性产生影响的可能性为重大的变更属于重大变更；对药品安全性、有效性或质量可控性产生影响的可能性为中等的变更属于中等变更；对药品的安全性、有效性或质量可控性产生影响的可能性为微小的变更属于微小变更。</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药品上市后变更管理属于药品全生命周期管理的一部分。变更及变更研究工作应以既往药品注册阶段以及实际生产过程中的研究和数据积累为基础。注册阶段的研究工作越系统、深入，生产过程中积累的数据越充分，对上市后的变更研究越有帮助。</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持有人可以参考本指导原则对变更进行研究和分类。持有人也可以在对药品及其工艺、质量控制等不断深入理解的基础上，采用ICH 指导原则（如ICH Q12等）中的各种变更管理工具，对变更进行研究和分类，这将更有利于持有人主动对已上市药品进行持续改进和创新。</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本指导原则涵盖的变更情形包括：制剂处方中辅料的变更、原料药和制剂生产工艺变更、生产场地变更、生产批量变更、制剂所用原料药的供应商变更、注册标准变更、包装材料和容器变更、有效期和贮藏条件变更、增加规格，并列举了每种变更情形下的重大变更、中等变更、微小变更，以及需进行的研究验证工作。本指导原则列出的上述内容为一般性技术要求。持有人在进行变更研究时，宜结合品种特点和变更情况开展研究，并不局限于本指导原则列举内容。同时，本指导原则不能涵盖已上市化学药品的所有变更情形，对于未列举的变更情形，持有人可参考本指导原则、根据变更具体情形开展研究。</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本指导原则中提及的各项研究工作的具体要求可参考颁布的相关技术指导原则。</w:t>
      </w:r>
      <w:bookmarkStart w:id="2" w:name="_Toc23780471"/>
    </w:p>
    <w:p>
      <w:pPr>
        <w:keepNext w:val="0"/>
        <w:keepLines w:val="0"/>
        <w:pageBreakBefore w:val="0"/>
        <w:widowControl w:val="0"/>
        <w:kinsoku/>
        <w:wordWrap/>
        <w:overflowPunct w:val="0"/>
        <w:topLinePunct w:val="0"/>
        <w:bidi w:val="0"/>
        <w:spacing w:line="360" w:lineRule="auto"/>
        <w:ind w:firstLine="562" w:firstLineChars="200"/>
        <w:outlineLvl w:val="0"/>
        <w:rPr>
          <w:rFonts w:hint="default" w:ascii="Times New Roman" w:hAnsi="Times New Roman" w:eastAsia="仿宋_GB2312" w:cs="Times New Roman"/>
          <w:b/>
          <w:sz w:val="28"/>
          <w:szCs w:val="28"/>
        </w:rPr>
      </w:pPr>
      <w:bookmarkStart w:id="3" w:name="_Toc37574303"/>
      <w:r>
        <w:rPr>
          <w:rFonts w:hint="default" w:ascii="Times New Roman" w:hAnsi="Times New Roman" w:eastAsia="仿宋_GB2312" w:cs="Times New Roman"/>
          <w:b/>
          <w:sz w:val="28"/>
          <w:szCs w:val="28"/>
        </w:rPr>
        <w:t>二、已上市化学药品药学变更研究工作的基本原则</w:t>
      </w:r>
      <w:bookmarkEnd w:id="2"/>
      <w:bookmarkEnd w:id="3"/>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（一）持有人是变更研究的主体</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持有人应对药品的研发和生产、质量控制、产品的性质等有着全面和准确的了解。当考虑进行变更时，持有人应当清楚变更的原因、变更的程度及对药品的影响，针对变更开展相应的研究工作，并对研究结果进行充分分析，全面评估、验证变更事项对药品安全性、有效性和质量可控性的影响。</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本指导原则按照重大变更、中等变更、微小变更列出研究验证工作要求，考虑到每种变更类型包括多种变更情形，每种变更情形需要进行的研究工作可能有所不同，所以本指导原则中列出的研究验证工作有时可能不能涵盖该变更情形下所需要的全部研究工作，有时可能部分研究工作不适用，所以持有人需要结合品种特点和变更情况，参考本指导原则，设计并开展相关研究，确定变更对药品的安全性、有效性或质量可控性产生的影响，确定变更实施的可行性。</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kern w:val="0"/>
          <w:sz w:val="28"/>
          <w:szCs w:val="28"/>
        </w:rPr>
        <w:t>（二）全面评估</w:t>
      </w:r>
      <w:r>
        <w:rPr>
          <w:rFonts w:hint="default" w:ascii="Times New Roman" w:hAnsi="Times New Roman" w:eastAsia="仿宋_GB2312" w:cs="Times New Roman"/>
          <w:sz w:val="28"/>
          <w:szCs w:val="28"/>
        </w:rPr>
        <w:t>变更对药品产生影响的程度</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kern w:val="0"/>
          <w:sz w:val="28"/>
          <w:szCs w:val="28"/>
        </w:rPr>
        <w:t>药品处方、生产工艺、场地、批量、质量标准等某一个方面的变更可能对药品安全性、有效性和质量可控性带来全面的影响。</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sz w:val="28"/>
          <w:szCs w:val="28"/>
        </w:rPr>
        <w:t>药品发生变更后，需通过全面的研究工作考察和</w:t>
      </w:r>
      <w:r>
        <w:rPr>
          <w:rFonts w:hint="default" w:ascii="Times New Roman" w:hAnsi="Times New Roman" w:eastAsia="仿宋_GB2312" w:cs="Times New Roman"/>
          <w:kern w:val="0"/>
          <w:sz w:val="28"/>
          <w:szCs w:val="28"/>
        </w:rPr>
        <w:t>评估</w:t>
      </w:r>
      <w:r>
        <w:rPr>
          <w:rFonts w:hint="default" w:ascii="Times New Roman" w:hAnsi="Times New Roman" w:eastAsia="仿宋_GB2312" w:cs="Times New Roman"/>
          <w:sz w:val="28"/>
          <w:szCs w:val="28"/>
        </w:rPr>
        <w:t>变更对药品</w:t>
      </w:r>
      <w:r>
        <w:rPr>
          <w:rFonts w:hint="default" w:ascii="Times New Roman" w:hAnsi="Times New Roman" w:eastAsia="仿宋_GB2312" w:cs="Times New Roman"/>
          <w:kern w:val="0"/>
          <w:sz w:val="28"/>
          <w:szCs w:val="28"/>
        </w:rPr>
        <w:t>安全性、有效性和质量可控性</w:t>
      </w:r>
      <w:r>
        <w:rPr>
          <w:rFonts w:hint="default" w:ascii="Times New Roman" w:hAnsi="Times New Roman" w:eastAsia="仿宋_GB2312" w:cs="Times New Roman"/>
          <w:sz w:val="28"/>
          <w:szCs w:val="28"/>
        </w:rPr>
        <w:t>的风险和产生影响的程度，包括化学、物理学、微生物学、生物学、生物等效性、稳定性等各方面的影响。研究工作宜根据变更的具体情况和变更的类别、原料药及/或制剂的性质、变更对药品影响程度等综合考虑确定。当体外研究结果无法准确判定变更对药品</w:t>
      </w:r>
      <w:r>
        <w:rPr>
          <w:rFonts w:hint="default" w:ascii="Times New Roman" w:hAnsi="Times New Roman" w:eastAsia="仿宋_GB2312" w:cs="Times New Roman"/>
          <w:kern w:val="0"/>
          <w:sz w:val="28"/>
          <w:szCs w:val="28"/>
        </w:rPr>
        <w:t>安全性、有效性和质量可控性</w:t>
      </w:r>
      <w:r>
        <w:rPr>
          <w:rFonts w:hint="default" w:ascii="Times New Roman" w:hAnsi="Times New Roman" w:eastAsia="仿宋_GB2312" w:cs="Times New Roman"/>
          <w:sz w:val="28"/>
          <w:szCs w:val="28"/>
        </w:rPr>
        <w:t>的影响时，需考虑进行体内等效性研究。</w:t>
      </w:r>
      <w:r>
        <w:rPr>
          <w:rFonts w:hint="default" w:ascii="Times New Roman" w:hAnsi="Times New Roman" w:eastAsia="仿宋_GB2312" w:cs="Times New Roman"/>
          <w:kern w:val="0"/>
          <w:sz w:val="28"/>
          <w:szCs w:val="28"/>
        </w:rPr>
        <w:t>严格意义上讲，变更前后并不必须保持完全一致，但需保持等同、等效，即药品质量具有可比性、临床等效。</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（三）关于研究用样品的考虑</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已上市化学药品药学变更发生在药品获准上市后的生产阶段，变更研究验证应采用中试及以上规模的样品。</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在对变更后药品进行研究时，各项研究（如处方研究、工艺研究与验证、溶出度比较研究、杂质谱比较研究、检测方法学验证、稳定性研究等）应符合相关指导原则要求。在进行药学对比研究时，如果变更前的药品是按照质量和疗效与参比制剂一致的技术要求批准上市的，可以考虑与变更前药品进行药学对比研究。对于需要进行BE研究的，BE研究通常建议与参比制剂进行。参比制剂应符合国家药品监督管理局的相关要求。</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（四）关联变更</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药品某一项变更往往不是独立发生的。例如，批量变更往往同时伴随生产设备及生产工艺的变更，处方变更可能伴随或引发药品质量标准变更，增加规格可能会调整处方等。本指导原则将一项变更伴随或引发的其他变更称之为关联变更。</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对于关联变更，研究工作可按照本指导原则中各项变更研究工作的基本思路分别进行。由于这些变更对药品安全性、有效性和质量可控性影响程度可能不同，即这些变更可能归属于本指导原则中各项变更的不同类别，可按照不同类别变更相应技术要求分别开展研究工作，但研究工作总体上应按照技术要求较高的变更类别进行，同时建议关注多项关联变更对药品安全性、有效性和质量可控性产生的叠加影响。</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（五）对于稳定性研究的考虑</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对于稳定性研究，在按照本指导原则中提出的相关要求进行研究时，应充分考虑研究工作和研究结果能否充分反映变更后药品的稳定性情况，必要时需要增加研究批次或者延长研究时间。</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在按照本指导原则提供稳定性研究资料的同时，应承诺按照稳定性研究方案在有效期内考察长期稳定性并在年报中进行报告。</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（六）关注原辅包变更对制剂的影响</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pacing w:val="-6"/>
          <w:sz w:val="28"/>
          <w:szCs w:val="28"/>
        </w:rPr>
      </w:pPr>
      <w:r>
        <w:rPr>
          <w:rFonts w:hint="default" w:ascii="Times New Roman" w:hAnsi="Times New Roman" w:eastAsia="仿宋_GB2312" w:cs="Times New Roman"/>
          <w:sz w:val="28"/>
          <w:szCs w:val="28"/>
        </w:rPr>
        <w:t>原辅包的各项变更，如生产工艺的变更、生产场地的变更、批量的变更、质量标准的变更等，可能对原辅包的质量存在影响，进而对</w:t>
      </w:r>
      <w:r>
        <w:rPr>
          <w:rFonts w:hint="default" w:ascii="Times New Roman" w:hAnsi="Times New Roman" w:eastAsia="仿宋_GB2312" w:cs="Times New Roman"/>
          <w:spacing w:val="-6"/>
          <w:sz w:val="28"/>
          <w:szCs w:val="28"/>
        </w:rPr>
        <w:t>制剂产生影响。鼓励制剂持有人与各个生产商和供应商签订质量协议。</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以原料药变更为例，当原料药发生变更时，建议及时通知制剂持有人。制剂持有人在原料药变更研究的基础上，进一步研究和评估原料药所发生的变更对制剂的影响，重点关注与制剂生产和质量相关的原料药的物理性质、杂质状况、质量控制要求、稳定性等是否发生变更，并考虑对采用变更前后原料药制备的制剂进行全面对比研究等。根据研究和评估结果，对制剂相应进行年报、备案、补充申请。</w:t>
      </w:r>
    </w:p>
    <w:p>
      <w:pPr>
        <w:keepNext w:val="0"/>
        <w:keepLines w:val="0"/>
        <w:pageBreakBefore w:val="0"/>
        <w:widowControl w:val="0"/>
        <w:kinsoku/>
        <w:wordWrap/>
        <w:overflowPunct w:val="0"/>
        <w:topLinePunct w:val="0"/>
        <w:bidi w:val="0"/>
        <w:spacing w:line="360" w:lineRule="auto"/>
        <w:ind w:firstLine="562" w:firstLineChars="200"/>
        <w:outlineLvl w:val="0"/>
        <w:rPr>
          <w:rFonts w:hint="default" w:ascii="Times New Roman" w:hAnsi="Times New Roman" w:eastAsia="仿宋_GB2312" w:cs="Times New Roman"/>
          <w:b/>
          <w:sz w:val="28"/>
          <w:szCs w:val="28"/>
        </w:rPr>
      </w:pPr>
      <w:bookmarkStart w:id="4" w:name="_Toc37574304"/>
      <w:r>
        <w:rPr>
          <w:rFonts w:hint="default" w:ascii="Times New Roman" w:hAnsi="Times New Roman" w:eastAsia="仿宋_GB2312" w:cs="Times New Roman"/>
          <w:b/>
          <w:sz w:val="28"/>
          <w:szCs w:val="28"/>
        </w:rPr>
        <w:t>三、变更原料药生产工艺</w:t>
      </w:r>
      <w:bookmarkEnd w:id="4"/>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变更原料药生产工艺主要指化学合成原料药生产工艺或半合成原料药的化学合成及之后生产工艺的变更，一般包括变更合成路线（含延长/缩短合成路线，变更反应试剂和起始原料）、变更生产条件、变更物料控制/过程控制及其它可能的变更。生产工艺变更可能只涉及上述某一种情况的变更，也可能涉及上述多种情况的变更。此种情况下，需考虑分别进行相应的研究工作。变更后，应对原料药或中间体的有关物质、含量测定等方法的适用性进行评估，必要时重新进行方法学验证。如标准中检查方法发生了变更，需按本指导原则相关章节进行研究。对于变更合成路线的，变更后合成路线中起始原料的选择应符合ICH Q11的相关要求。</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最后一步反应中间体：本指导原则中最后一步反应仅限于形成共价键的反应，成盐等反应不包括在内。</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杂质状况：本指导原则中的杂质状况主要指原料药/中间体/起始原料中杂质的种类与含量。</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研究变更前后杂质状况采用的杂质检查方法应对原有杂质和新产生的杂质均可以进行有效的分离和检测。对于新建立的杂质检查方法，需进行翔实的方法学研究。变更前后杂质水平的比较需采用统一的方法进行，一般考察连续三批或以上大生产批量样品，并与三批或以上变更前产品结果进行比较。当结果符合以下条件时，则可认为工艺变更前后杂质状况一致：</w:t>
      </w:r>
      <w:r>
        <w:rPr>
          <w:rFonts w:hint="default" w:ascii="Times New Roman" w:hAnsi="Times New Roman" w:eastAsia="宋体" w:cs="Times New Roman"/>
          <w:sz w:val="28"/>
          <w:szCs w:val="28"/>
        </w:rPr>
        <w:t>①</w:t>
      </w:r>
      <w:r>
        <w:rPr>
          <w:rFonts w:hint="default" w:ascii="Times New Roman" w:hAnsi="Times New Roman" w:eastAsia="仿宋_GB2312" w:cs="Times New Roman"/>
          <w:sz w:val="28"/>
          <w:szCs w:val="28"/>
        </w:rPr>
        <w:t>新增杂质未高于《化学药物杂质研究的技术指导原则》及国际通行指导原则如ICH Q3A规定的鉴定限度；</w:t>
      </w:r>
      <w:r>
        <w:rPr>
          <w:rFonts w:hint="default" w:ascii="Times New Roman" w:hAnsi="Times New Roman" w:eastAsia="宋体" w:cs="Times New Roman"/>
          <w:sz w:val="28"/>
          <w:szCs w:val="28"/>
        </w:rPr>
        <w:t>②</w:t>
      </w:r>
      <w:r>
        <w:rPr>
          <w:rFonts w:hint="default" w:ascii="Times New Roman" w:hAnsi="Times New Roman" w:eastAsia="仿宋_GB2312" w:cs="Times New Roman"/>
          <w:sz w:val="28"/>
          <w:szCs w:val="28"/>
        </w:rPr>
        <w:t>已有杂质（包含立体异构体）及杂质总量均在标准限度范围，如标准中无规定，应在原工艺生产的多批产品测定范围内；③新使用的溶剂残留量符合《化学药物有机溶剂残留量研究的技术指导原则》及国际通行指导原则如ICH Q3C的有关规定；</w:t>
      </w:r>
      <w:r>
        <w:rPr>
          <w:rFonts w:hint="default" w:ascii="Times New Roman" w:hAnsi="Times New Roman" w:eastAsia="宋体" w:cs="Times New Roman"/>
          <w:sz w:val="28"/>
          <w:szCs w:val="28"/>
        </w:rPr>
        <w:t>④</w:t>
      </w:r>
      <w:r>
        <w:rPr>
          <w:rFonts w:hint="default" w:ascii="Times New Roman" w:hAnsi="Times New Roman" w:eastAsia="仿宋_GB2312" w:cs="Times New Roman"/>
          <w:sz w:val="28"/>
          <w:szCs w:val="28"/>
        </w:rPr>
        <w:t>新的无机杂质符合《化学药物杂质研究的技术指导原则》的有关要求。</w:t>
      </w:r>
      <w:r>
        <w:rPr>
          <w:rFonts w:hint="default" w:ascii="Times New Roman" w:hAnsi="Times New Roman" w:eastAsia="仿宋_GB2312" w:cs="Times New Roman"/>
          <w:sz w:val="28"/>
          <w:szCs w:val="28"/>
        </w:rPr>
        <w:fldChar w:fldCharType="begin"/>
      </w:r>
      <w:r>
        <w:rPr>
          <w:rFonts w:hint="default" w:ascii="Times New Roman" w:hAnsi="Times New Roman" w:eastAsia="仿宋_GB2312" w:cs="Times New Roman"/>
          <w:sz w:val="28"/>
          <w:szCs w:val="28"/>
        </w:rPr>
        <w:instrText xml:space="preserve"> = 5 \* GB3 </w:instrText>
      </w:r>
      <w:r>
        <w:rPr>
          <w:rFonts w:hint="default" w:ascii="Times New Roman" w:hAnsi="Times New Roman" w:eastAsia="仿宋_GB2312" w:cs="Times New Roman"/>
          <w:sz w:val="28"/>
          <w:szCs w:val="28"/>
        </w:rPr>
        <w:fldChar w:fldCharType="separate"/>
      </w:r>
      <w:r>
        <w:rPr>
          <w:rFonts w:hint="default" w:ascii="Times New Roman" w:hAnsi="Times New Roman" w:eastAsia="仿宋_GB2312" w:cs="Times New Roman"/>
          <w:sz w:val="28"/>
          <w:szCs w:val="28"/>
        </w:rPr>
        <w:t>⑤</w:t>
      </w:r>
      <w:r>
        <w:rPr>
          <w:rFonts w:hint="default" w:ascii="Times New Roman" w:hAnsi="Times New Roman" w:eastAsia="仿宋_GB2312" w:cs="Times New Roman"/>
          <w:sz w:val="28"/>
          <w:szCs w:val="28"/>
        </w:rPr>
        <w:fldChar w:fldCharType="end"/>
      </w:r>
      <w:r>
        <w:rPr>
          <w:rFonts w:hint="default" w:ascii="Times New Roman" w:hAnsi="Times New Roman" w:eastAsia="仿宋_GB2312" w:cs="Times New Roman"/>
          <w:sz w:val="28"/>
          <w:szCs w:val="28"/>
        </w:rPr>
        <w:t>在原料药生产工艺变更中，应参考ICH M7对致突变杂质进行考察。</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（一）微小变更</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1、变更情况</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此类变更包括但不限于以下情形：</w:t>
      </w:r>
    </w:p>
    <w:p>
      <w:pPr>
        <w:keepNext w:val="0"/>
        <w:keepLines w:val="0"/>
        <w:pageBreakBefore w:val="0"/>
        <w:widowControl w:val="0"/>
        <w:numPr>
          <w:ilvl w:val="0"/>
          <w:numId w:val="1"/>
        </w:numPr>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sz w:val="28"/>
          <w:szCs w:val="28"/>
        </w:rPr>
        <w:t>增加新的生产过程控制方法或制订更严格的过程控制限度，以更好地控制药品生产和保证药品质量。</w:t>
      </w:r>
      <w:r>
        <w:rPr>
          <w:rFonts w:hint="default" w:ascii="Times New Roman" w:hAnsi="Times New Roman" w:eastAsia="仿宋_GB2312" w:cs="Times New Roman"/>
          <w:kern w:val="0"/>
          <w:sz w:val="28"/>
          <w:szCs w:val="28"/>
        </w:rPr>
        <w:t>如果因为原料药生产过程中发现存在工艺缺陷或稳定性问题而进行的上述变更，不属于此类变更的范围。</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（2）变更原料药生产工艺中所用反应试剂、溶剂和包装材料的供应商、质量标准或级别，但不降低反应试剂、溶剂和包装材料的质量。</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（3）在非最后一步反应前增加或变更溶剂，且在变更前原料药合成工艺中已使用的，原料药杂质状况应保持不变。</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（4）提高起始原料、中间体的质量标准。</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（5）材质、设计和工作原理相同的生产设备的变更，但是已批准的生产工艺或过程控制限度不变。</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2、研究验证工作</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（1）说明变更的具体情况和原因，提供工艺变更的研究资料。</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w:t>
      </w:r>
      <w:r>
        <w:rPr>
          <w:rFonts w:hint="default" w:ascii="Times New Roman" w:hAnsi="Times New Roman" w:eastAsia="仿宋_GB2312" w:cs="Times New Roman"/>
          <w:kern w:val="0"/>
          <w:sz w:val="28"/>
          <w:szCs w:val="28"/>
        </w:rPr>
        <w:t>提供变更后一批样品的批生产记录</w:t>
      </w:r>
      <w:r>
        <w:rPr>
          <w:rFonts w:hint="default" w:ascii="Times New Roman" w:hAnsi="Times New Roman" w:eastAsia="仿宋_GB2312" w:cs="Times New Roman"/>
          <w:sz w:val="28"/>
          <w:szCs w:val="28"/>
        </w:rPr>
        <w:t>。</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（3）按照现行质量标准，对变更后一批样品进行检验。</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w:t>
      </w:r>
      <w:r>
        <w:rPr>
          <w:rFonts w:hint="default" w:ascii="Times New Roman" w:hAnsi="Times New Roman" w:eastAsia="仿宋_GB2312" w:cs="Times New Roman"/>
          <w:kern w:val="0"/>
          <w:sz w:val="28"/>
          <w:szCs w:val="28"/>
        </w:rPr>
        <w:t>在年报中报告首批样品的长期稳定性试验数据。</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（二）中等变更</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1、变更情况</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此类变更包括但不限于以下情形：</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（1）在原批准工艺路线基础上延长工艺路线，将原起始原料作为中间体，其中中间体的工艺路线与原起始原料一致。</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（2）最后一步化学反应之前的工艺步骤中，反应试剂、生产条件等的变更（三（一）1（3）、三（三）1（7）除外），但原料药杂质状况未发生变化。  </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（3）起始原料的合成路线或供应商发生变更，但原料药杂质状况未发生变化。</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（4）变更起始原料、中间体的质量标准（三（一）1（4）除外），变更后起始原料、中间体的质量控制水平不得降低。</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（5）无菌原料药的以下情形：</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①变更除菌过滤过程的滤过参数（包括流速、压力、时间、或体积，但滤过材料和孔径不变），且超出原批准范围的。</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②除菌工艺过滤器从单一过滤器改为两个无菌级过滤器串联，或药液重复过滤的过滤工艺变更等。</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（6）原料药生产工艺中的设备变更，原料药杂质状况或物理特性（如粒度、晶型等）未发生变化。例如：</w:t>
      </w:r>
    </w:p>
    <w:p>
      <w:pPr>
        <w:keepNext w:val="0"/>
        <w:keepLines w:val="0"/>
        <w:pageBreakBefore w:val="0"/>
        <w:widowControl w:val="0"/>
        <w:numPr>
          <w:ilvl w:val="0"/>
          <w:numId w:val="2"/>
        </w:numPr>
        <w:kinsoku/>
        <w:wordWrap/>
        <w:overflowPunct w:val="0"/>
        <w:topLinePunct w:val="0"/>
        <w:bidi w:val="0"/>
        <w:spacing w:line="360" w:lineRule="auto"/>
        <w:ind w:left="0" w:firstLine="422" w:firstLineChars="151"/>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将热稳定性中间体或原料药的干燥工艺由一种变更为另一种（例如托盘烘箱改为流化床或旋转锥形真空干燥器）。</w:t>
      </w:r>
    </w:p>
    <w:p>
      <w:pPr>
        <w:keepNext w:val="0"/>
        <w:keepLines w:val="0"/>
        <w:pageBreakBefore w:val="0"/>
        <w:widowControl w:val="0"/>
        <w:numPr>
          <w:ilvl w:val="0"/>
          <w:numId w:val="2"/>
        </w:numPr>
        <w:kinsoku/>
        <w:wordWrap/>
        <w:overflowPunct w:val="0"/>
        <w:topLinePunct w:val="0"/>
        <w:bidi w:val="0"/>
        <w:spacing w:line="360" w:lineRule="auto"/>
        <w:ind w:left="992" w:leftChars="270" w:hanging="425" w:hangingChars="15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不影响原料药粒度的粉碎设备的变更。</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（6）在生产工艺中增加返工工序。</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2、研究验证工作</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（1）说明变更的具体情况和原因，对变更后的工艺进行研究和验证。</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对于无菌原料药，还需进行无菌/灭菌工艺验证。</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（2）提供变更后一批样品的批生产记录。</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（3）对变更前后原料药进行质量对比研究，重点证明变更前后原料药的杂质状况、物理特性和微生物水平保持一致。</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（4）对变更后连续生产的三批样品进行检验。</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（5）对变更后一批样品进行加速及长期稳定性考察，申请时提供不少于3个月的稳定性研究资料，并与变更前产品的稳定性情况进行比较。 </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（三）重大变更</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1、变更情况</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此类变更包括但不限于以下情形：</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（1）原料药合成路线发生变更（三（二）1（1）除外）。</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（2）起始原料的合成路线或供应商发生变更，对原料药杂质状况可能产生影响。</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（3）最后一步反应中间体形成步骤之后工艺步骤的生产工艺变更（如结晶溶剂）。</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（4）在原料药生产工艺中的设备变更，可能导致原料药杂质状况或物理特性发生变化。例如：</w:t>
      </w:r>
    </w:p>
    <w:p>
      <w:pPr>
        <w:keepNext w:val="0"/>
        <w:keepLines w:val="0"/>
        <w:pageBreakBefore w:val="0"/>
        <w:widowControl w:val="0"/>
        <w:numPr>
          <w:ilvl w:val="0"/>
          <w:numId w:val="3"/>
        </w:numPr>
        <w:kinsoku/>
        <w:wordWrap/>
        <w:overflowPunct w:val="0"/>
        <w:topLinePunct w:val="0"/>
        <w:bidi w:val="0"/>
        <w:spacing w:line="360" w:lineRule="auto"/>
        <w:ind w:left="0" w:firstLine="422" w:firstLineChars="151"/>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热不稳定中间体或原料药所用干燥设备改为不同操作原理和不同设计的设备。</w:t>
      </w:r>
    </w:p>
    <w:p>
      <w:pPr>
        <w:keepNext w:val="0"/>
        <w:keepLines w:val="0"/>
        <w:pageBreakBefore w:val="0"/>
        <w:widowControl w:val="0"/>
        <w:numPr>
          <w:ilvl w:val="0"/>
          <w:numId w:val="3"/>
        </w:numPr>
        <w:kinsoku/>
        <w:wordWrap/>
        <w:overflowPunct w:val="0"/>
        <w:topLinePunct w:val="0"/>
        <w:bidi w:val="0"/>
        <w:spacing w:line="360" w:lineRule="auto"/>
        <w:ind w:left="0" w:firstLine="422" w:firstLineChars="151"/>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采用不同设计和操作原理的粉碎设备。</w:t>
      </w:r>
    </w:p>
    <w:p>
      <w:pPr>
        <w:keepNext w:val="0"/>
        <w:keepLines w:val="0"/>
        <w:pageBreakBefore w:val="0"/>
        <w:widowControl w:val="0"/>
        <w:numPr>
          <w:ilvl w:val="0"/>
          <w:numId w:val="3"/>
        </w:numPr>
        <w:kinsoku/>
        <w:wordWrap/>
        <w:overflowPunct w:val="0"/>
        <w:topLinePunct w:val="0"/>
        <w:bidi w:val="0"/>
        <w:spacing w:line="360" w:lineRule="auto"/>
        <w:ind w:left="0" w:firstLine="422" w:firstLineChars="151"/>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原料药最后溶解步骤或其后所做的设备变更。</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（5）无菌原料药生产过程变更可能影响无菌保证水平的以下情形：  </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①变更原料药灭菌/无菌工艺，从除菌过滤、干热灭菌、辐射灭菌中的一种工艺变更为另一种工艺。</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②无菌生产工艺中使用的过滤器材料或孔径的变更。</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③无菌生产工艺中冻干曲线的变更。</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④无菌生产工艺中步骤的增加、减少或替代。</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⑤无菌工艺生产线增加由不同材料（如不锈钢与玻璃、或不同塑料之间的变更）制造、且与无菌溶液或药物成分直接接触的新设备，或者减少无菌工艺生产线的设备。</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（6）在生产工艺中增加重新加工工序。</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（7）放宽或删除批准的工艺参数或过程控制限度，对原料药的总体质量杂质状况和物理特性可能产生影响。</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（8）其他导致原料药杂质状况和理化性质与变更前不一致的变更。</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2、研究验证工作</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（1）说明变更的具体情况和原因，对变更后工艺进行研究和验证。</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对于无菌原料药，还需进行无菌/灭菌工艺验证。</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（2）对变更后的原料药或变更中间体进行结构确证。</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（3）提供变更后一批样品的批生产记录。</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（4）对变更前后原料药进行质量对比研究，重点考察变更前后样品的杂质状况、物理特性和微生物水平。</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（5）对变更后连续生产的三批样品进行检验。</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（6）对变更后三批样品进行加速及长期稳定性考察，申请时提供3～6个月的稳定性研究资料，并与变更前产品的稳定性情况进行比较。 </w:t>
      </w:r>
    </w:p>
    <w:p>
      <w:pPr>
        <w:keepNext w:val="0"/>
        <w:keepLines w:val="0"/>
        <w:pageBreakBefore w:val="0"/>
        <w:widowControl w:val="0"/>
        <w:kinsoku/>
        <w:wordWrap/>
        <w:overflowPunct w:val="0"/>
        <w:topLinePunct w:val="0"/>
        <w:bidi w:val="0"/>
        <w:spacing w:line="360" w:lineRule="auto"/>
        <w:ind w:firstLine="562" w:firstLineChars="200"/>
        <w:outlineLvl w:val="0"/>
        <w:rPr>
          <w:rFonts w:hint="default" w:ascii="Times New Roman" w:hAnsi="Times New Roman" w:eastAsia="仿宋_GB2312" w:cs="Times New Roman"/>
          <w:b/>
          <w:sz w:val="28"/>
          <w:szCs w:val="28"/>
        </w:rPr>
      </w:pPr>
      <w:bookmarkStart w:id="5" w:name="_Toc37574305"/>
      <w:r>
        <w:rPr>
          <w:rFonts w:hint="default" w:ascii="Times New Roman" w:hAnsi="Times New Roman" w:eastAsia="仿宋_GB2312" w:cs="Times New Roman"/>
          <w:b/>
          <w:sz w:val="28"/>
          <w:szCs w:val="28"/>
        </w:rPr>
        <w:t>四、变更制剂处方中的辅料</w:t>
      </w:r>
      <w:bookmarkEnd w:id="5"/>
      <w:r>
        <w:rPr>
          <w:rFonts w:hint="default" w:ascii="Times New Roman" w:hAnsi="Times New Roman" w:eastAsia="仿宋_GB2312" w:cs="Times New Roman"/>
          <w:b/>
          <w:sz w:val="28"/>
          <w:szCs w:val="28"/>
        </w:rPr>
        <w:tab/>
      </w:r>
    </w:p>
    <w:p>
      <w:pPr>
        <w:keepNext w:val="0"/>
        <w:keepLines w:val="0"/>
        <w:pageBreakBefore w:val="0"/>
        <w:widowControl w:val="0"/>
        <w:kinsoku/>
        <w:wordWrap/>
        <w:overflowPunct w:val="0"/>
        <w:topLinePunct w:val="0"/>
        <w:autoSpaceDE w:val="0"/>
        <w:autoSpaceDN w:val="0"/>
        <w:bidi w:val="0"/>
        <w:adjustRightInd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变更制剂处方中的辅料包括变更辅料种类、用量、供应商、级别等。一般来说，辅料种类的变更属于重大变更，去除或部分去除着色剂、矫味剂除外，普通口服固体制剂变更包衣材料的配方，如已在其他药品中批准使用且不影响制剂的溶出行为、质量和稳定性，属于微小变更。改变着色剂、矫味剂的种类或增加其用量均属于重大变更，但可以考虑免除生物等效性研究。非无菌半固体制剂中防腐剂的变更单独考虑，不列入变更量总和，其重大变更也可以考虑免除生物等效性研究。</w:t>
      </w:r>
    </w:p>
    <w:p>
      <w:pPr>
        <w:keepNext w:val="0"/>
        <w:keepLines w:val="0"/>
        <w:pageBreakBefore w:val="0"/>
        <w:widowControl w:val="0"/>
        <w:kinsoku/>
        <w:wordWrap/>
        <w:overflowPunct w:val="0"/>
        <w:topLinePunct w:val="0"/>
        <w:autoSpaceDE w:val="0"/>
        <w:autoSpaceDN w:val="0"/>
        <w:bidi w:val="0"/>
        <w:adjustRightInd w:val="0"/>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处方中各辅料用量的变化应以原批准的处方（如</w:t>
      </w:r>
      <w:r>
        <w:rPr>
          <w:rFonts w:hint="default" w:ascii="Times New Roman" w:hAnsi="Times New Roman" w:eastAsia="仿宋_GB2312" w:cs="Times New Roman"/>
          <w:kern w:val="0"/>
          <w:sz w:val="28"/>
          <w:szCs w:val="28"/>
        </w:rPr>
        <w:t>关键临床试验批或BE批）</w:t>
      </w:r>
      <w:r>
        <w:rPr>
          <w:rFonts w:hint="default" w:ascii="Times New Roman" w:hAnsi="Times New Roman" w:eastAsia="仿宋_GB2312" w:cs="Times New Roman"/>
          <w:sz w:val="28"/>
          <w:szCs w:val="28"/>
        </w:rPr>
        <w:t xml:space="preserve">作为比较目标，而不是以微小变更或中等变更后的处方作为比较目标。                    </w:t>
      </w:r>
    </w:p>
    <w:p>
      <w:pPr>
        <w:keepNext w:val="0"/>
        <w:keepLines w:val="0"/>
        <w:pageBreakBefore w:val="0"/>
        <w:widowControl w:val="0"/>
        <w:kinsoku/>
        <w:wordWrap/>
        <w:overflowPunct w:val="0"/>
        <w:topLinePunct w:val="0"/>
        <w:autoSpaceDE w:val="0"/>
        <w:autoSpaceDN w:val="0"/>
        <w:bidi w:val="0"/>
        <w:adjustRightInd w:val="0"/>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本指导原则中制剂处方中辅料的中等变更应按照审批类变更提出补充申请。</w:t>
      </w:r>
    </w:p>
    <w:p>
      <w:pPr>
        <w:keepNext w:val="0"/>
        <w:keepLines w:val="0"/>
        <w:pageBreakBefore w:val="0"/>
        <w:widowControl w:val="0"/>
        <w:kinsoku/>
        <w:wordWrap/>
        <w:overflowPunct w:val="0"/>
        <w:topLinePunct w:val="0"/>
        <w:autoSpaceDE w:val="0"/>
        <w:autoSpaceDN w:val="0"/>
        <w:bidi w:val="0"/>
        <w:adjustRightInd w:val="0"/>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本指导原则未涵盖的剂型的辅料种类、用量、级别的变更，建议按照审批类变更提出补充申请；辅料供应商及辅料质量标准的变更参考其他剂型的要求进行研究。</w:t>
      </w:r>
    </w:p>
    <w:p>
      <w:pPr>
        <w:keepNext w:val="0"/>
        <w:keepLines w:val="0"/>
        <w:pageBreakBefore w:val="0"/>
        <w:widowControl w:val="0"/>
        <w:kinsoku/>
        <w:wordWrap/>
        <w:overflowPunct w:val="0"/>
        <w:topLinePunct w:val="0"/>
        <w:autoSpaceDE w:val="0"/>
        <w:autoSpaceDN w:val="0"/>
        <w:bidi w:val="0"/>
        <w:adjustRightInd w:val="0"/>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（一）微小变更</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 xml:space="preserve">1、普通口服固体制剂 </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1.1、变更情况</w:t>
      </w:r>
    </w:p>
    <w:p>
      <w:pPr>
        <w:keepNext w:val="0"/>
        <w:keepLines w:val="0"/>
        <w:pageBreakBefore w:val="0"/>
        <w:widowControl w:val="0"/>
        <w:kinsoku/>
        <w:wordWrap/>
        <w:overflowPunct w:val="0"/>
        <w:topLinePunct w:val="0"/>
        <w:bidi w:val="0"/>
        <w:spacing w:line="360" w:lineRule="auto"/>
        <w:ind w:firstLine="48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此类变更包括但不限于以下情形：</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（1）变更辅料供应商，但是辅料的级别以及质量标准不变，该变更不影响药物的溶出行为、质量和稳定性。</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（2）去除或部分去除着色剂、矫味剂，或者将印字油墨的成分改为另外一种在已批准药物中使用的成分。</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rPr>
      </w:pPr>
      <w:r>
        <w:rPr>
          <w:rFonts w:hint="default" w:ascii="Times New Roman" w:hAnsi="Times New Roman" w:eastAsia="仿宋_GB2312" w:cs="Times New Roman"/>
          <w:kern w:val="0"/>
          <w:sz w:val="28"/>
          <w:szCs w:val="28"/>
        </w:rPr>
        <w:t>（3）提高辅料</w:t>
      </w:r>
      <w:r>
        <w:rPr>
          <w:rFonts w:hint="default" w:ascii="Times New Roman" w:hAnsi="Times New Roman" w:eastAsia="仿宋_GB2312" w:cs="Times New Roman"/>
          <w:kern w:val="0"/>
          <w:sz w:val="28"/>
        </w:rPr>
        <w:t>的质量标准（如收紧质控限度）或者因中国药典版本的更新或增补而引起的质量标准的变更。</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（4）变更辅料用量。</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辅料用量的改变，以其占原批准处方总重量的百分比（w/w）计算，应小于或等于下表中的百分比范围。</w:t>
      </w:r>
    </w:p>
    <w:p>
      <w:pPr>
        <w:keepNext w:val="0"/>
        <w:keepLines w:val="0"/>
        <w:pageBreakBefore w:val="0"/>
        <w:widowControl w:val="0"/>
        <w:kinsoku/>
        <w:wordWrap/>
        <w:overflowPunct w:val="0"/>
        <w:topLinePunct w:val="0"/>
        <w:bidi w:val="0"/>
        <w:spacing w:line="360" w:lineRule="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表4-1变更普通口服固体制剂的辅料用量（微小变更）</w:t>
      </w:r>
    </w:p>
    <w:tbl>
      <w:tblPr>
        <w:tblStyle w:val="30"/>
        <w:tblW w:w="7156" w:type="dxa"/>
        <w:jc w:val="center"/>
        <w:tblInd w:w="5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2055"/>
        <w:gridCol w:w="3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85" w:type="dxa"/>
            <w:gridSpan w:val="2"/>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辅料</w:t>
            </w:r>
          </w:p>
        </w:tc>
        <w:tc>
          <w:tcPr>
            <w:tcW w:w="3971"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辅料占原批准处方总重量的百分比（w/w）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85" w:type="dxa"/>
            <w:gridSpan w:val="2"/>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填充剂</w:t>
            </w:r>
          </w:p>
        </w:tc>
        <w:tc>
          <w:tcPr>
            <w:tcW w:w="3971"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0" w:type="dxa"/>
            <w:vMerge w:val="restart"/>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崩解剂</w:t>
            </w:r>
          </w:p>
        </w:tc>
        <w:tc>
          <w:tcPr>
            <w:tcW w:w="2055"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淀粉</w:t>
            </w:r>
          </w:p>
        </w:tc>
        <w:tc>
          <w:tcPr>
            <w:tcW w:w="3971"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0" w:type="dxa"/>
            <w:vMerge w:val="continue"/>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p>
        </w:tc>
        <w:tc>
          <w:tcPr>
            <w:tcW w:w="2055"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其他</w:t>
            </w:r>
          </w:p>
        </w:tc>
        <w:tc>
          <w:tcPr>
            <w:tcW w:w="3971"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85" w:type="dxa"/>
            <w:gridSpan w:val="2"/>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粘合剂</w:t>
            </w:r>
          </w:p>
        </w:tc>
        <w:tc>
          <w:tcPr>
            <w:tcW w:w="3971"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0" w:type="dxa"/>
            <w:vMerge w:val="restart"/>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润滑剂</w:t>
            </w:r>
          </w:p>
        </w:tc>
        <w:tc>
          <w:tcPr>
            <w:tcW w:w="2055"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硬脂酸钙或硬脂酸镁</w:t>
            </w:r>
          </w:p>
        </w:tc>
        <w:tc>
          <w:tcPr>
            <w:tcW w:w="3971"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0" w:type="dxa"/>
            <w:vMerge w:val="continue"/>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p>
        </w:tc>
        <w:tc>
          <w:tcPr>
            <w:tcW w:w="2055"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其他</w:t>
            </w:r>
          </w:p>
        </w:tc>
        <w:tc>
          <w:tcPr>
            <w:tcW w:w="3971"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0" w:type="dxa"/>
            <w:vMerge w:val="restart"/>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助流剂</w:t>
            </w:r>
          </w:p>
        </w:tc>
        <w:tc>
          <w:tcPr>
            <w:tcW w:w="2055"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滑石粉</w:t>
            </w:r>
          </w:p>
        </w:tc>
        <w:tc>
          <w:tcPr>
            <w:tcW w:w="3971"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0" w:type="dxa"/>
            <w:vMerge w:val="continue"/>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p>
        </w:tc>
        <w:tc>
          <w:tcPr>
            <w:tcW w:w="2055"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其他</w:t>
            </w:r>
          </w:p>
        </w:tc>
        <w:tc>
          <w:tcPr>
            <w:tcW w:w="3971"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85" w:type="dxa"/>
            <w:gridSpan w:val="2"/>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薄膜衣</w:t>
            </w:r>
          </w:p>
        </w:tc>
        <w:tc>
          <w:tcPr>
            <w:tcW w:w="3971"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±1</w:t>
            </w:r>
          </w:p>
        </w:tc>
      </w:tr>
    </w:tbl>
    <w:p>
      <w:pPr>
        <w:keepNext w:val="0"/>
        <w:keepLines w:val="0"/>
        <w:pageBreakBefore w:val="0"/>
        <w:widowControl w:val="0"/>
        <w:kinsoku/>
        <w:wordWrap/>
        <w:overflowPunct w:val="0"/>
        <w:topLinePunct w:val="0"/>
        <w:bidi w:val="0"/>
        <w:spacing w:line="360" w:lineRule="auto"/>
        <w:ind w:firstLine="561"/>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主药按标示量的100%投料。所有辅料用量的变更总和应不超过5%（例如：一个产品的处方包括活性成分A、乳糖、微晶纤维素和硬脂酸镁，乳糖和微晶纤维素用量发生变更，变更总和不应超过5%，例如乳糖增加2.5%，同时微晶纤维素减少2.5%，则变更总和为5%）。</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单剂量处方总重量应与原批准总重量或总重量范围相同，否则应按照中等或者重大变更进行研究。 </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如同一种辅料在制剂中发挥不同的作用，建议按照最严格的变更进行分类，如淀粉糊作为粘合剂，淀粉同时还有崩解剂的作用，推荐的微小变更的限度为0.5%。</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1.2、研究验证工作</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w:t>
      </w:r>
      <w:r>
        <w:rPr>
          <w:rFonts w:hint="default" w:ascii="Times New Roman" w:hAnsi="Times New Roman" w:eastAsia="仿宋_GB2312" w:cs="Times New Roman"/>
          <w:kern w:val="0"/>
          <w:sz w:val="28"/>
          <w:szCs w:val="28"/>
        </w:rPr>
        <w:t>说明变更的具体情况和原因，提供相关研究资料。</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（2）对变更后一批样品进行检验。</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（3）进行溶出度检查。</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（4）在年报中报告首批样品的长期稳定性试验数据。</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2、口服缓释/控释制剂、肠溶制剂</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对于此类制剂，需要采用适当的证明手段（如药物释放机制和制备方法），证明哪些是对药物释放有显著影响的辅料，即释药控制性辅料，哪些是对药物释放影响不大的辅料，即非释药控制性辅料，处方中每种辅料的作用均应明确。以膜控型缓释片为例，缓释包衣材料乙基纤维素、增塑剂、致孔剂都可归为释药控制性辅料，而片芯填充剂微晶纤维素等辅料属于非释药控制性辅料。两类辅料用量变更计算方法不同，变更允许限度也是不同的。</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2.1、变更情况</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 xml:space="preserve">2.1.1、非释药控制性辅料的变更 </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此类变更包括但不限于以下情形：</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（1）变更辅料供应商，但是辅料的级别以及质量标准不变。该变更不影响药物的释放行为、质量和稳定性。</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bCs/>
          <w:kern w:val="0"/>
          <w:sz w:val="28"/>
          <w:szCs w:val="28"/>
        </w:rPr>
      </w:pPr>
      <w:r>
        <w:rPr>
          <w:rFonts w:hint="default" w:ascii="Times New Roman" w:hAnsi="Times New Roman" w:eastAsia="仿宋_GB2312" w:cs="Times New Roman"/>
          <w:kern w:val="0"/>
          <w:sz w:val="28"/>
          <w:szCs w:val="28"/>
        </w:rPr>
        <w:t>（2）去除或部分去除着色剂、矫味剂，或者将印字油墨的成分改为另外一种在已批准药物</w:t>
      </w:r>
      <w:r>
        <w:rPr>
          <w:rFonts w:hint="default" w:ascii="Times New Roman" w:hAnsi="Times New Roman" w:eastAsia="仿宋_GB2312" w:cs="Times New Roman"/>
          <w:bCs/>
          <w:kern w:val="0"/>
          <w:sz w:val="28"/>
          <w:szCs w:val="28"/>
        </w:rPr>
        <w:t>中使用的成分。</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bCs/>
          <w:kern w:val="0"/>
          <w:sz w:val="28"/>
          <w:szCs w:val="28"/>
        </w:rPr>
      </w:pPr>
      <w:r>
        <w:rPr>
          <w:rFonts w:hint="default" w:ascii="Times New Roman" w:hAnsi="Times New Roman" w:eastAsia="仿宋_GB2312" w:cs="Times New Roman"/>
          <w:bCs/>
          <w:kern w:val="0"/>
          <w:sz w:val="28"/>
          <w:szCs w:val="28"/>
        </w:rPr>
        <w:t>（3）提高辅料的质量标准（如收紧质控限度）或者因中国药典版本的更新或增补而引起的质量标准的变更。</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bCs/>
          <w:kern w:val="0"/>
          <w:sz w:val="28"/>
          <w:szCs w:val="28"/>
        </w:rPr>
      </w:pPr>
      <w:r>
        <w:rPr>
          <w:rFonts w:hint="default" w:ascii="Times New Roman" w:hAnsi="Times New Roman" w:eastAsia="仿宋_GB2312" w:cs="Times New Roman"/>
          <w:bCs/>
          <w:kern w:val="0"/>
          <w:sz w:val="28"/>
          <w:szCs w:val="28"/>
        </w:rPr>
        <w:t>（4）变更辅料用量。</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bCs/>
          <w:kern w:val="0"/>
          <w:sz w:val="28"/>
          <w:szCs w:val="28"/>
        </w:rPr>
        <w:t>非释药控制性辅料用量的变化，按其占原批准处方总</w:t>
      </w:r>
      <w:r>
        <w:rPr>
          <w:rFonts w:hint="default" w:ascii="Times New Roman" w:hAnsi="Times New Roman" w:eastAsia="仿宋_GB2312" w:cs="Times New Roman"/>
          <w:sz w:val="28"/>
          <w:szCs w:val="28"/>
        </w:rPr>
        <w:t>重量的百分比（w/w）计算，应小于或等于下表中的百分比范围。</w:t>
      </w:r>
    </w:p>
    <w:p>
      <w:pPr>
        <w:keepNext w:val="0"/>
        <w:keepLines w:val="0"/>
        <w:pageBreakBefore w:val="0"/>
        <w:widowControl w:val="0"/>
        <w:kinsoku/>
        <w:wordWrap/>
        <w:overflowPunct w:val="0"/>
        <w:topLinePunct w:val="0"/>
        <w:bidi w:val="0"/>
        <w:spacing w:line="360" w:lineRule="auto"/>
        <w:ind w:firstLine="600" w:firstLineChars="25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表4-2变更口服缓释/控释制剂、肠溶制剂中的非释药控制性辅料的用量（微小变更）</w:t>
      </w:r>
    </w:p>
    <w:tbl>
      <w:tblPr>
        <w:tblStyle w:val="30"/>
        <w:tblW w:w="7156" w:type="dxa"/>
        <w:tblInd w:w="5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2"/>
        <w:gridCol w:w="1634"/>
        <w:gridCol w:w="3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86" w:type="dxa"/>
            <w:gridSpan w:val="2"/>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辅料</w:t>
            </w:r>
          </w:p>
        </w:tc>
        <w:tc>
          <w:tcPr>
            <w:tcW w:w="3970"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辅料占原批准处方总重量的百分比（w/w）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86" w:type="dxa"/>
            <w:gridSpan w:val="2"/>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填充剂</w:t>
            </w:r>
          </w:p>
        </w:tc>
        <w:tc>
          <w:tcPr>
            <w:tcW w:w="3970"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2" w:type="dxa"/>
            <w:vMerge w:val="restart"/>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崩解剂</w:t>
            </w:r>
          </w:p>
        </w:tc>
        <w:tc>
          <w:tcPr>
            <w:tcW w:w="1634"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淀粉</w:t>
            </w:r>
          </w:p>
        </w:tc>
        <w:tc>
          <w:tcPr>
            <w:tcW w:w="3970"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2" w:type="dxa"/>
            <w:vMerge w:val="continue"/>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p>
        </w:tc>
        <w:tc>
          <w:tcPr>
            <w:tcW w:w="1634"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其他</w:t>
            </w:r>
          </w:p>
        </w:tc>
        <w:tc>
          <w:tcPr>
            <w:tcW w:w="3970"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86" w:type="dxa"/>
            <w:gridSpan w:val="2"/>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粘合剂</w:t>
            </w:r>
          </w:p>
        </w:tc>
        <w:tc>
          <w:tcPr>
            <w:tcW w:w="3970"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2" w:type="dxa"/>
            <w:vMerge w:val="restart"/>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润滑剂</w:t>
            </w:r>
          </w:p>
        </w:tc>
        <w:tc>
          <w:tcPr>
            <w:tcW w:w="1634"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硬脂酸钙或硬脂酸镁</w:t>
            </w:r>
          </w:p>
        </w:tc>
        <w:tc>
          <w:tcPr>
            <w:tcW w:w="3970"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2" w:type="dxa"/>
            <w:vMerge w:val="continue"/>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p>
        </w:tc>
        <w:tc>
          <w:tcPr>
            <w:tcW w:w="1634"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其他</w:t>
            </w:r>
          </w:p>
        </w:tc>
        <w:tc>
          <w:tcPr>
            <w:tcW w:w="3970"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2" w:type="dxa"/>
            <w:vMerge w:val="restart"/>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助流剂</w:t>
            </w:r>
          </w:p>
        </w:tc>
        <w:tc>
          <w:tcPr>
            <w:tcW w:w="1634"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滑石粉</w:t>
            </w:r>
          </w:p>
        </w:tc>
        <w:tc>
          <w:tcPr>
            <w:tcW w:w="3970"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2" w:type="dxa"/>
            <w:vMerge w:val="continue"/>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p>
        </w:tc>
        <w:tc>
          <w:tcPr>
            <w:tcW w:w="1634"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其他</w:t>
            </w:r>
          </w:p>
        </w:tc>
        <w:tc>
          <w:tcPr>
            <w:tcW w:w="3970"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86" w:type="dxa"/>
            <w:gridSpan w:val="2"/>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薄膜衣</w:t>
            </w:r>
          </w:p>
        </w:tc>
        <w:tc>
          <w:tcPr>
            <w:tcW w:w="3970"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±1</w:t>
            </w:r>
          </w:p>
        </w:tc>
      </w:tr>
    </w:tbl>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主药按标示量的100%投料。所有辅料用量的变更总和不超过5%。单剂量处方总重量应与原批准总重量或总重量范围相同，否则应按照中等或者重大变更进行研究。 </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kern w:val="0"/>
          <w:sz w:val="28"/>
          <w:szCs w:val="28"/>
        </w:rPr>
        <w:t>2.1.2、</w:t>
      </w:r>
      <w:r>
        <w:rPr>
          <w:rFonts w:hint="default" w:ascii="Times New Roman" w:hAnsi="Times New Roman" w:eastAsia="仿宋_GB2312" w:cs="Times New Roman"/>
          <w:sz w:val="28"/>
          <w:szCs w:val="28"/>
        </w:rPr>
        <w:t>释药控制性辅料的变更</w:t>
      </w:r>
    </w:p>
    <w:p>
      <w:pPr>
        <w:keepNext w:val="0"/>
        <w:keepLines w:val="0"/>
        <w:pageBreakBefore w:val="0"/>
        <w:widowControl w:val="0"/>
        <w:kinsoku/>
        <w:wordWrap/>
        <w:overflowPunct w:val="0"/>
        <w:topLinePunct w:val="0"/>
        <w:bidi w:val="0"/>
        <w:spacing w:line="360" w:lineRule="auto"/>
        <w:ind w:firstLine="48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此类变更包括但不限于以下情形： </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（1）变更辅料供应商，但是辅料的级别以及质量标准不变。该变更不影响药物的释放行为、质量和稳定性。</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（2）提高辅料的质量标准（如收紧质控限度）或者因中国药典版本的更新或增补而引起的质量标准的变更。</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（3）变更辅料用量。</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释药控制性辅料的变化，按其占原批准处方中所有释药控制性辅料总重量的百分比（w/w）计算，应不超过5%。主药按标示量的100%投料。所有释药控制性辅料用量的变更总和应不超过5%。产品总重量应与原批准重量相同，否则应按照中等或者重大变更进行研究。 </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例如：对于一个处方由活性成分A、乙基纤维素和增塑剂组成的制剂，如果其变更符合微小变更的规定，那么乙基纤维素和增塑剂的变化量占乙基纤维素和增塑剂总重量百分比的总和不应超过5%，如乙基纤维素增加2.5%，增塑剂减少2.5%，则变更总和为5%。</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2.2、研究验证工作</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（1）说明变更的具体情况和原因，提供相关研究资料。</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（2）对变更后一批样品进行检验。</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（3）进行释放度检查。</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（4）在年报中报告首批样品的长期稳定性试验数据。</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3、非无菌半固体制剂</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3.1、变更情况</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此类变更包括但不限于以下情形：</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（1）去除或部分去除着色剂、矫味剂。</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（2）提高辅料的质量标准（如收紧质控限度）或者因中国药典版本的更新或增补而引起的质量标准的变更。</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（3）变更辅料用量。</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各辅料用量变更不超过该辅料原批准用量的5%，所有辅料用量的变更总和应不超过5%。但由于处方改变而导致稀释剂（如水）用量变更幅度允许超出此范围。</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（4）防腐剂用量的变更不超过原批准用量的10%。</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（5）结构为单一化学实体（纯度≥95%）的赋形剂供应商的变更，或者其他辅料供应商、级别的变更，该变更不影响药物的释放行为、质量和稳定性。</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3.2、研究验证工作</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（1）说明变更的具体情况和原因，提供相关研究资料。</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（2）对变更后一批样品进行检验。</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（3）在年报中报告首批样品的长期稳定性数据。</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 xml:space="preserve">（4）如防腐剂发生变更，应进行规定范围内抑菌剂最低浓度的抑菌效力试验。 </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（二）中等变更</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1、普通口服固体制剂</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1.1、变更情况</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sz w:val="28"/>
          <w:szCs w:val="28"/>
        </w:rPr>
        <w:t>此类变更包括但不限于以下情形：</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（1）变更辅料的级别、质量标准，如用微晶纤维素PH200替代微晶纤维素PH101（质量标准的微小变更除外）。</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 xml:space="preserve">（2）变更辅料用量。 </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辅料用量的改变，以其占原批准处方总重量的百分比（w/w）计算，超过微小变更的范围，但小于或等于下表中的百分比范围。</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治疗窗窄的药物以及低溶解性、低渗透性药物（BCSⅣ类）的用量变化超过微小变更，均应按照重大变更进行研究。</w:t>
      </w:r>
    </w:p>
    <w:p>
      <w:pPr>
        <w:keepNext w:val="0"/>
        <w:keepLines w:val="0"/>
        <w:pageBreakBefore w:val="0"/>
        <w:widowControl w:val="0"/>
        <w:kinsoku/>
        <w:wordWrap/>
        <w:overflowPunct w:val="0"/>
        <w:topLinePunct w:val="0"/>
        <w:bidi w:val="0"/>
        <w:spacing w:line="360" w:lineRule="auto"/>
        <w:ind w:firstLine="48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4"/>
          <w:szCs w:val="24"/>
        </w:rPr>
        <w:t>表4-3变更普通口服固体制剂的辅料用量（中等变更）</w:t>
      </w:r>
    </w:p>
    <w:tbl>
      <w:tblPr>
        <w:tblStyle w:val="17"/>
        <w:tblW w:w="7156" w:type="dxa"/>
        <w:jc w:val="center"/>
        <w:tblInd w:w="5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2"/>
        <w:gridCol w:w="1633"/>
        <w:gridCol w:w="3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85" w:type="dxa"/>
            <w:gridSpan w:val="2"/>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szCs w:val="21"/>
              </w:rPr>
            </w:pPr>
            <w:r>
              <w:rPr>
                <w:rFonts w:hint="default" w:ascii="Times New Roman" w:hAnsi="Times New Roman" w:eastAsia="仿宋_GB2312" w:cs="Times New Roman"/>
                <w:szCs w:val="21"/>
              </w:rPr>
              <w:t>辅料</w:t>
            </w:r>
          </w:p>
        </w:tc>
        <w:tc>
          <w:tcPr>
            <w:tcW w:w="3971"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szCs w:val="21"/>
              </w:rPr>
            </w:pPr>
            <w:r>
              <w:rPr>
                <w:rFonts w:hint="default" w:ascii="Times New Roman" w:hAnsi="Times New Roman" w:eastAsia="仿宋_GB2312" w:cs="Times New Roman"/>
                <w:szCs w:val="21"/>
              </w:rPr>
              <w:t>辅料占原批准处方总重量的百分比（w/w）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85" w:type="dxa"/>
            <w:gridSpan w:val="2"/>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szCs w:val="21"/>
              </w:rPr>
            </w:pPr>
            <w:r>
              <w:rPr>
                <w:rFonts w:hint="default" w:ascii="Times New Roman" w:hAnsi="Times New Roman" w:eastAsia="仿宋_GB2312" w:cs="Times New Roman"/>
                <w:szCs w:val="21"/>
              </w:rPr>
              <w:t>填充剂</w:t>
            </w:r>
          </w:p>
        </w:tc>
        <w:tc>
          <w:tcPr>
            <w:tcW w:w="3971"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szCs w:val="21"/>
              </w:rPr>
            </w:pPr>
            <w:r>
              <w:rPr>
                <w:rFonts w:hint="default" w:ascii="Times New Roman" w:hAnsi="Times New Roman" w:eastAsia="仿宋_GB2312" w:cs="Times New Roman"/>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2" w:type="dxa"/>
            <w:vMerge w:val="restart"/>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szCs w:val="21"/>
              </w:rPr>
            </w:pPr>
            <w:r>
              <w:rPr>
                <w:rFonts w:hint="default" w:ascii="Times New Roman" w:hAnsi="Times New Roman" w:eastAsia="仿宋_GB2312" w:cs="Times New Roman"/>
                <w:szCs w:val="21"/>
              </w:rPr>
              <w:t>崩解剂</w:t>
            </w:r>
          </w:p>
        </w:tc>
        <w:tc>
          <w:tcPr>
            <w:tcW w:w="1633"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szCs w:val="21"/>
              </w:rPr>
            </w:pPr>
            <w:r>
              <w:rPr>
                <w:rFonts w:hint="default" w:ascii="Times New Roman" w:hAnsi="Times New Roman" w:eastAsia="仿宋_GB2312" w:cs="Times New Roman"/>
                <w:szCs w:val="21"/>
              </w:rPr>
              <w:t>淀粉</w:t>
            </w:r>
          </w:p>
        </w:tc>
        <w:tc>
          <w:tcPr>
            <w:tcW w:w="3971"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szCs w:val="21"/>
              </w:rPr>
            </w:pPr>
            <w:r>
              <w:rPr>
                <w:rFonts w:hint="default" w:ascii="Times New Roman" w:hAnsi="Times New Roman" w:eastAsia="仿宋_GB2312" w:cs="Times New Roman"/>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2" w:type="dxa"/>
            <w:vMerge w:val="continue"/>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szCs w:val="21"/>
              </w:rPr>
            </w:pPr>
          </w:p>
        </w:tc>
        <w:tc>
          <w:tcPr>
            <w:tcW w:w="1633"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szCs w:val="21"/>
              </w:rPr>
            </w:pPr>
            <w:r>
              <w:rPr>
                <w:rFonts w:hint="default" w:ascii="Times New Roman" w:hAnsi="Times New Roman" w:eastAsia="仿宋_GB2312" w:cs="Times New Roman"/>
                <w:szCs w:val="21"/>
              </w:rPr>
              <w:t>其他</w:t>
            </w:r>
          </w:p>
        </w:tc>
        <w:tc>
          <w:tcPr>
            <w:tcW w:w="3971"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szCs w:val="21"/>
              </w:rPr>
            </w:pPr>
            <w:r>
              <w:rPr>
                <w:rFonts w:hint="default" w:ascii="Times New Roman" w:hAnsi="Times New Roman" w:eastAsia="仿宋_GB2312" w:cs="Times New Roman"/>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85" w:type="dxa"/>
            <w:gridSpan w:val="2"/>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szCs w:val="21"/>
              </w:rPr>
            </w:pPr>
            <w:r>
              <w:rPr>
                <w:rFonts w:hint="default" w:ascii="Times New Roman" w:hAnsi="Times New Roman" w:eastAsia="仿宋_GB2312" w:cs="Times New Roman"/>
                <w:szCs w:val="21"/>
              </w:rPr>
              <w:t>粘合剂</w:t>
            </w:r>
          </w:p>
        </w:tc>
        <w:tc>
          <w:tcPr>
            <w:tcW w:w="3971"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szCs w:val="21"/>
              </w:rPr>
            </w:pPr>
            <w:r>
              <w:rPr>
                <w:rFonts w:hint="default" w:ascii="Times New Roman" w:hAnsi="Times New Roman" w:eastAsia="仿宋_GB2312" w:cs="Times New Roman"/>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2" w:type="dxa"/>
            <w:vMerge w:val="restart"/>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szCs w:val="21"/>
              </w:rPr>
            </w:pPr>
            <w:r>
              <w:rPr>
                <w:rFonts w:hint="default" w:ascii="Times New Roman" w:hAnsi="Times New Roman" w:eastAsia="仿宋_GB2312" w:cs="Times New Roman"/>
                <w:szCs w:val="21"/>
              </w:rPr>
              <w:t>润滑剂</w:t>
            </w:r>
          </w:p>
        </w:tc>
        <w:tc>
          <w:tcPr>
            <w:tcW w:w="1633"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szCs w:val="21"/>
              </w:rPr>
            </w:pPr>
            <w:r>
              <w:rPr>
                <w:rFonts w:hint="default" w:ascii="Times New Roman" w:hAnsi="Times New Roman" w:eastAsia="仿宋_GB2312" w:cs="Times New Roman"/>
                <w:szCs w:val="21"/>
              </w:rPr>
              <w:t>硬脂酸钙或硬脂酸镁</w:t>
            </w:r>
          </w:p>
        </w:tc>
        <w:tc>
          <w:tcPr>
            <w:tcW w:w="3971"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szCs w:val="21"/>
              </w:rPr>
            </w:pPr>
            <w:r>
              <w:rPr>
                <w:rFonts w:hint="default" w:ascii="Times New Roman" w:hAnsi="Times New Roman" w:eastAsia="仿宋_GB2312" w:cs="Times New Roman"/>
                <w:szCs w:val="21"/>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2" w:type="dxa"/>
            <w:vMerge w:val="continue"/>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szCs w:val="21"/>
              </w:rPr>
            </w:pPr>
          </w:p>
        </w:tc>
        <w:tc>
          <w:tcPr>
            <w:tcW w:w="1633"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szCs w:val="21"/>
              </w:rPr>
            </w:pPr>
            <w:r>
              <w:rPr>
                <w:rFonts w:hint="default" w:ascii="Times New Roman" w:hAnsi="Times New Roman" w:eastAsia="仿宋_GB2312" w:cs="Times New Roman"/>
                <w:szCs w:val="21"/>
              </w:rPr>
              <w:t>其他</w:t>
            </w:r>
          </w:p>
        </w:tc>
        <w:tc>
          <w:tcPr>
            <w:tcW w:w="3971"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szCs w:val="21"/>
              </w:rPr>
            </w:pPr>
            <w:r>
              <w:rPr>
                <w:rFonts w:hint="default" w:ascii="Times New Roman" w:hAnsi="Times New Roman" w:eastAsia="仿宋_GB2312" w:cs="Times New Roman"/>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2" w:type="dxa"/>
            <w:vMerge w:val="restart"/>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szCs w:val="21"/>
              </w:rPr>
            </w:pPr>
            <w:r>
              <w:rPr>
                <w:rFonts w:hint="default" w:ascii="Times New Roman" w:hAnsi="Times New Roman" w:eastAsia="仿宋_GB2312" w:cs="Times New Roman"/>
                <w:szCs w:val="21"/>
              </w:rPr>
              <w:t>助流剂</w:t>
            </w:r>
          </w:p>
        </w:tc>
        <w:tc>
          <w:tcPr>
            <w:tcW w:w="1633"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szCs w:val="21"/>
              </w:rPr>
            </w:pPr>
            <w:r>
              <w:rPr>
                <w:rFonts w:hint="default" w:ascii="Times New Roman" w:hAnsi="Times New Roman" w:eastAsia="仿宋_GB2312" w:cs="Times New Roman"/>
                <w:szCs w:val="21"/>
              </w:rPr>
              <w:t>滑石粉</w:t>
            </w:r>
          </w:p>
        </w:tc>
        <w:tc>
          <w:tcPr>
            <w:tcW w:w="3971"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szCs w:val="21"/>
              </w:rPr>
            </w:pPr>
            <w:r>
              <w:rPr>
                <w:rFonts w:hint="default" w:ascii="Times New Roman" w:hAnsi="Times New Roman" w:eastAsia="仿宋_GB2312" w:cs="Times New Roman"/>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2" w:type="dxa"/>
            <w:vMerge w:val="continue"/>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szCs w:val="21"/>
              </w:rPr>
            </w:pPr>
          </w:p>
        </w:tc>
        <w:tc>
          <w:tcPr>
            <w:tcW w:w="1633"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szCs w:val="21"/>
              </w:rPr>
            </w:pPr>
            <w:r>
              <w:rPr>
                <w:rFonts w:hint="default" w:ascii="Times New Roman" w:hAnsi="Times New Roman" w:eastAsia="仿宋_GB2312" w:cs="Times New Roman"/>
                <w:szCs w:val="21"/>
              </w:rPr>
              <w:t>其他</w:t>
            </w:r>
          </w:p>
        </w:tc>
        <w:tc>
          <w:tcPr>
            <w:tcW w:w="3971"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szCs w:val="21"/>
              </w:rPr>
            </w:pPr>
            <w:r>
              <w:rPr>
                <w:rFonts w:hint="default" w:ascii="Times New Roman" w:hAnsi="Times New Roman" w:eastAsia="仿宋_GB2312" w:cs="Times New Roman"/>
                <w:szCs w:val="21"/>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85" w:type="dxa"/>
            <w:gridSpan w:val="2"/>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szCs w:val="21"/>
              </w:rPr>
            </w:pPr>
            <w:r>
              <w:rPr>
                <w:rFonts w:hint="default" w:ascii="Times New Roman" w:hAnsi="Times New Roman" w:eastAsia="仿宋_GB2312" w:cs="Times New Roman"/>
                <w:szCs w:val="21"/>
              </w:rPr>
              <w:t>薄膜衣</w:t>
            </w:r>
          </w:p>
        </w:tc>
        <w:tc>
          <w:tcPr>
            <w:tcW w:w="3971"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szCs w:val="21"/>
              </w:rPr>
            </w:pPr>
            <w:r>
              <w:rPr>
                <w:rFonts w:hint="default" w:ascii="Times New Roman" w:hAnsi="Times New Roman" w:eastAsia="仿宋_GB2312" w:cs="Times New Roman"/>
                <w:szCs w:val="21"/>
              </w:rPr>
              <w:t>±2</w:t>
            </w:r>
          </w:p>
        </w:tc>
      </w:tr>
    </w:tbl>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主药按标示量的100%投料。所有辅料用量的变更总和不超过10%。</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1.2、研究验证工作</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（1）说明变更的具体情况和原因，对变更后的处方进行研究。</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（2）对变更后连续生产的三批样品进行检验。</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（3）提供变更后一批样品的批生产记录。</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（4）对变更前后样品进行比较研究，变更前后药物溶出行为、或与体内吸收和疗效有关的重要理化性质和指标、杂质状况保持一致。 </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（5）对变更后一批样品进行加速及长期稳定性考察，申请时提供不少于3个月的稳定性研究资料，并与变更前产品的稳定性情况进行比较。 </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2、口服缓释/控释制剂、肠溶制剂</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2.1、变更情况</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 xml:space="preserve">2.1.1、非释药控制性辅料的变更 </w:t>
      </w:r>
    </w:p>
    <w:p>
      <w:pPr>
        <w:keepNext w:val="0"/>
        <w:keepLines w:val="0"/>
        <w:pageBreakBefore w:val="0"/>
        <w:widowControl w:val="0"/>
        <w:kinsoku/>
        <w:wordWrap/>
        <w:overflowPunct w:val="0"/>
        <w:topLinePunct w:val="0"/>
        <w:bidi w:val="0"/>
        <w:spacing w:line="360" w:lineRule="auto"/>
        <w:ind w:firstLine="48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此类变更包括但不限于以下情形：</w:t>
      </w:r>
    </w:p>
    <w:p>
      <w:pPr>
        <w:keepNext w:val="0"/>
        <w:keepLines w:val="0"/>
        <w:pageBreakBefore w:val="0"/>
        <w:widowControl w:val="0"/>
        <w:kinsoku/>
        <w:wordWrap/>
        <w:overflowPunct w:val="0"/>
        <w:topLinePunct w:val="0"/>
        <w:bidi w:val="0"/>
        <w:spacing w:line="360" w:lineRule="auto"/>
        <w:ind w:firstLine="560" w:firstLineChars="200"/>
        <w:textAlignment w:val="baseline"/>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（1）变更辅料的级别、质量标准（质量标准的微小变更除外）。</w:t>
      </w:r>
    </w:p>
    <w:p>
      <w:pPr>
        <w:keepNext w:val="0"/>
        <w:keepLines w:val="0"/>
        <w:pageBreakBefore w:val="0"/>
        <w:widowControl w:val="0"/>
        <w:kinsoku/>
        <w:wordWrap/>
        <w:overflowPunct w:val="0"/>
        <w:topLinePunct w:val="0"/>
        <w:bidi w:val="0"/>
        <w:spacing w:line="360" w:lineRule="auto"/>
        <w:ind w:firstLine="560" w:firstLineChars="200"/>
        <w:textAlignment w:val="baseline"/>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（2）变更辅料用量。</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非释药控制性辅料用量的改变，按其占原批准处方总重量的百分比（W/W）计算，超过微小变更的范围，但小于或等于下表中的百分比范围。</w:t>
      </w:r>
    </w:p>
    <w:p>
      <w:pPr>
        <w:keepNext w:val="0"/>
        <w:keepLines w:val="0"/>
        <w:pageBreakBefore w:val="0"/>
        <w:widowControl w:val="0"/>
        <w:kinsoku/>
        <w:wordWrap/>
        <w:overflowPunct w:val="0"/>
        <w:topLinePunct w:val="0"/>
        <w:bidi w:val="0"/>
        <w:spacing w:line="360" w:lineRule="auto"/>
        <w:ind w:firstLine="600" w:firstLineChars="25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表4-4变更口服缓释/控释制剂、肠溶制剂中的非释药控制性辅料用量（中等变更）</w:t>
      </w:r>
    </w:p>
    <w:tbl>
      <w:tblPr>
        <w:tblStyle w:val="17"/>
        <w:tblW w:w="7156" w:type="dxa"/>
        <w:jc w:val="center"/>
        <w:tblInd w:w="5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2"/>
        <w:gridCol w:w="1633"/>
        <w:gridCol w:w="3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85" w:type="dxa"/>
            <w:gridSpan w:val="2"/>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rPr>
            </w:pPr>
            <w:r>
              <w:rPr>
                <w:rFonts w:hint="default" w:ascii="Times New Roman" w:hAnsi="Times New Roman" w:eastAsia="仿宋_GB2312" w:cs="Times New Roman"/>
              </w:rPr>
              <w:t>辅料</w:t>
            </w:r>
          </w:p>
        </w:tc>
        <w:tc>
          <w:tcPr>
            <w:tcW w:w="3971"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rPr>
            </w:pPr>
            <w:r>
              <w:rPr>
                <w:rFonts w:hint="default" w:ascii="Times New Roman" w:hAnsi="Times New Roman" w:eastAsia="仿宋_GB2312" w:cs="Times New Roman"/>
              </w:rPr>
              <w:t>辅料占原批准处方总重量的百分比（w/w）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85" w:type="dxa"/>
            <w:gridSpan w:val="2"/>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rPr>
            </w:pPr>
            <w:r>
              <w:rPr>
                <w:rFonts w:hint="default" w:ascii="Times New Roman" w:hAnsi="Times New Roman" w:eastAsia="仿宋_GB2312" w:cs="Times New Roman"/>
              </w:rPr>
              <w:t>填充剂</w:t>
            </w:r>
          </w:p>
        </w:tc>
        <w:tc>
          <w:tcPr>
            <w:tcW w:w="3971"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rPr>
            </w:pPr>
            <w:r>
              <w:rPr>
                <w:rFonts w:hint="default" w:ascii="Times New Roman" w:hAnsi="Times New Roman" w:eastAsia="仿宋_GB2312" w:cs="Times New Roma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2" w:type="dxa"/>
            <w:vMerge w:val="restart"/>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rPr>
            </w:pPr>
            <w:r>
              <w:rPr>
                <w:rFonts w:hint="default" w:ascii="Times New Roman" w:hAnsi="Times New Roman" w:eastAsia="仿宋_GB2312" w:cs="Times New Roman"/>
              </w:rPr>
              <w:t>崩解剂</w:t>
            </w:r>
          </w:p>
        </w:tc>
        <w:tc>
          <w:tcPr>
            <w:tcW w:w="1633"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rPr>
            </w:pPr>
            <w:r>
              <w:rPr>
                <w:rFonts w:hint="default" w:ascii="Times New Roman" w:hAnsi="Times New Roman" w:eastAsia="仿宋_GB2312" w:cs="Times New Roman"/>
              </w:rPr>
              <w:t>淀粉</w:t>
            </w:r>
          </w:p>
        </w:tc>
        <w:tc>
          <w:tcPr>
            <w:tcW w:w="3971"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rPr>
            </w:pPr>
            <w:r>
              <w:rPr>
                <w:rFonts w:hint="default" w:ascii="Times New Roman" w:hAnsi="Times New Roman" w:eastAsia="仿宋_GB2312" w:cs="Times New Roma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2" w:type="dxa"/>
            <w:vMerge w:val="continue"/>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rPr>
            </w:pPr>
          </w:p>
        </w:tc>
        <w:tc>
          <w:tcPr>
            <w:tcW w:w="1633"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rPr>
            </w:pPr>
            <w:r>
              <w:rPr>
                <w:rFonts w:hint="default" w:ascii="Times New Roman" w:hAnsi="Times New Roman" w:eastAsia="仿宋_GB2312" w:cs="Times New Roman"/>
              </w:rPr>
              <w:t>其他</w:t>
            </w:r>
          </w:p>
        </w:tc>
        <w:tc>
          <w:tcPr>
            <w:tcW w:w="3971"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rPr>
            </w:pPr>
            <w:r>
              <w:rPr>
                <w:rFonts w:hint="default" w:ascii="Times New Roman" w:hAnsi="Times New Roman" w:eastAsia="仿宋_GB2312" w:cs="Times New Roma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85" w:type="dxa"/>
            <w:gridSpan w:val="2"/>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rPr>
            </w:pPr>
            <w:r>
              <w:rPr>
                <w:rFonts w:hint="default" w:ascii="Times New Roman" w:hAnsi="Times New Roman" w:eastAsia="仿宋_GB2312" w:cs="Times New Roman"/>
              </w:rPr>
              <w:t>粘合剂</w:t>
            </w:r>
          </w:p>
        </w:tc>
        <w:tc>
          <w:tcPr>
            <w:tcW w:w="3971"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rPr>
            </w:pPr>
            <w:r>
              <w:rPr>
                <w:rFonts w:hint="default" w:ascii="Times New Roman" w:hAnsi="Times New Roman" w:eastAsia="仿宋_GB2312" w:cs="Times New Roma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2" w:type="dxa"/>
            <w:vMerge w:val="restart"/>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rPr>
            </w:pPr>
            <w:r>
              <w:rPr>
                <w:rFonts w:hint="default" w:ascii="Times New Roman" w:hAnsi="Times New Roman" w:eastAsia="仿宋_GB2312" w:cs="Times New Roman"/>
              </w:rPr>
              <w:t>润滑剂</w:t>
            </w:r>
          </w:p>
        </w:tc>
        <w:tc>
          <w:tcPr>
            <w:tcW w:w="1633"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rPr>
            </w:pPr>
            <w:r>
              <w:rPr>
                <w:rFonts w:hint="default" w:ascii="Times New Roman" w:hAnsi="Times New Roman" w:eastAsia="仿宋_GB2312" w:cs="Times New Roman"/>
              </w:rPr>
              <w:t>硬脂酸钙或硬脂酸镁</w:t>
            </w:r>
          </w:p>
        </w:tc>
        <w:tc>
          <w:tcPr>
            <w:tcW w:w="3971"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rPr>
            </w:pPr>
            <w:r>
              <w:rPr>
                <w:rFonts w:hint="default" w:ascii="Times New Roman" w:hAnsi="Times New Roman" w:eastAsia="仿宋_GB2312" w:cs="Times New Roma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2" w:type="dxa"/>
            <w:vMerge w:val="continue"/>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rPr>
            </w:pPr>
          </w:p>
        </w:tc>
        <w:tc>
          <w:tcPr>
            <w:tcW w:w="1633"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rPr>
            </w:pPr>
            <w:r>
              <w:rPr>
                <w:rFonts w:hint="default" w:ascii="Times New Roman" w:hAnsi="Times New Roman" w:eastAsia="仿宋_GB2312" w:cs="Times New Roman"/>
              </w:rPr>
              <w:t>其他</w:t>
            </w:r>
          </w:p>
        </w:tc>
        <w:tc>
          <w:tcPr>
            <w:tcW w:w="3971"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rPr>
            </w:pPr>
            <w:r>
              <w:rPr>
                <w:rFonts w:hint="default" w:ascii="Times New Roman" w:hAnsi="Times New Roman" w:eastAsia="仿宋_GB2312" w:cs="Times New Roma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2" w:type="dxa"/>
            <w:vMerge w:val="restart"/>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rPr>
            </w:pPr>
            <w:r>
              <w:rPr>
                <w:rFonts w:hint="default" w:ascii="Times New Roman" w:hAnsi="Times New Roman" w:eastAsia="仿宋_GB2312" w:cs="Times New Roman"/>
              </w:rPr>
              <w:t>助流剂</w:t>
            </w:r>
          </w:p>
        </w:tc>
        <w:tc>
          <w:tcPr>
            <w:tcW w:w="1633"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rPr>
            </w:pPr>
            <w:r>
              <w:rPr>
                <w:rFonts w:hint="default" w:ascii="Times New Roman" w:hAnsi="Times New Roman" w:eastAsia="仿宋_GB2312" w:cs="Times New Roman"/>
              </w:rPr>
              <w:t>滑石粉</w:t>
            </w:r>
          </w:p>
        </w:tc>
        <w:tc>
          <w:tcPr>
            <w:tcW w:w="3971"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rPr>
            </w:pPr>
            <w:r>
              <w:rPr>
                <w:rFonts w:hint="default" w:ascii="Times New Roman" w:hAnsi="Times New Roman" w:eastAsia="仿宋_GB2312" w:cs="Times New Roma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2" w:type="dxa"/>
            <w:vMerge w:val="continue"/>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rPr>
            </w:pPr>
          </w:p>
        </w:tc>
        <w:tc>
          <w:tcPr>
            <w:tcW w:w="1633"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rPr>
            </w:pPr>
            <w:r>
              <w:rPr>
                <w:rFonts w:hint="default" w:ascii="Times New Roman" w:hAnsi="Times New Roman" w:eastAsia="仿宋_GB2312" w:cs="Times New Roman"/>
              </w:rPr>
              <w:t>其他</w:t>
            </w:r>
          </w:p>
        </w:tc>
        <w:tc>
          <w:tcPr>
            <w:tcW w:w="3971"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rPr>
            </w:pPr>
            <w:r>
              <w:rPr>
                <w:rFonts w:hint="default" w:ascii="Times New Roman" w:hAnsi="Times New Roman" w:eastAsia="仿宋_GB2312" w:cs="Times New Roma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85" w:type="dxa"/>
            <w:gridSpan w:val="2"/>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rPr>
            </w:pPr>
            <w:r>
              <w:rPr>
                <w:rFonts w:hint="default" w:ascii="Times New Roman" w:hAnsi="Times New Roman" w:eastAsia="仿宋_GB2312" w:cs="Times New Roman"/>
              </w:rPr>
              <w:t>薄膜衣</w:t>
            </w:r>
          </w:p>
        </w:tc>
        <w:tc>
          <w:tcPr>
            <w:tcW w:w="3971" w:type="dxa"/>
            <w:vAlign w:val="center"/>
          </w:tcPr>
          <w:p>
            <w:pPr>
              <w:keepNext w:val="0"/>
              <w:keepLines w:val="0"/>
              <w:pageBreakBefore w:val="0"/>
              <w:widowControl w:val="0"/>
              <w:kinsoku/>
              <w:wordWrap/>
              <w:overflowPunct w:val="0"/>
              <w:topLinePunct w:val="0"/>
              <w:bidi w:val="0"/>
              <w:adjustRightInd w:val="0"/>
              <w:snapToGrid w:val="0"/>
              <w:rPr>
                <w:rFonts w:hint="default" w:ascii="Times New Roman" w:hAnsi="Times New Roman" w:eastAsia="仿宋_GB2312" w:cs="Times New Roman"/>
              </w:rPr>
            </w:pPr>
            <w:r>
              <w:rPr>
                <w:rFonts w:hint="default" w:ascii="Times New Roman" w:hAnsi="Times New Roman" w:eastAsia="仿宋_GB2312" w:cs="Times New Roman"/>
              </w:rPr>
              <w:t>±2</w:t>
            </w:r>
          </w:p>
        </w:tc>
      </w:tr>
    </w:tbl>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主药按标示量100%投料。所有非释药控制性辅料用量的变更总和不超过10%。 </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2.1.2、释药控制性辅料的变更</w:t>
      </w:r>
    </w:p>
    <w:p>
      <w:pPr>
        <w:keepNext w:val="0"/>
        <w:keepLines w:val="0"/>
        <w:pageBreakBefore w:val="0"/>
        <w:widowControl w:val="0"/>
        <w:kinsoku/>
        <w:wordWrap/>
        <w:overflowPunct w:val="0"/>
        <w:topLinePunct w:val="0"/>
        <w:bidi w:val="0"/>
        <w:spacing w:line="360" w:lineRule="auto"/>
        <w:ind w:firstLine="48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此类变更包括但不限于以下情形：</w:t>
      </w:r>
    </w:p>
    <w:p>
      <w:pPr>
        <w:keepNext w:val="0"/>
        <w:keepLines w:val="0"/>
        <w:pageBreakBefore w:val="0"/>
        <w:widowControl w:val="0"/>
        <w:kinsoku/>
        <w:wordWrap/>
        <w:overflowPunct w:val="0"/>
        <w:topLinePunct w:val="0"/>
        <w:bidi w:val="0"/>
        <w:spacing w:line="360" w:lineRule="auto"/>
        <w:ind w:firstLine="560" w:firstLineChars="200"/>
        <w:textAlignment w:val="baseline"/>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（1）变更释药控制性辅料的级别、质量标准（质量标准的微小变更除外）。  </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（2）变更释药控制性辅料用量。</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释药控制性辅料用量的改变，按其占原批准处方中所有释药控制性辅料总重量的百分比（w/w）计算，超过微小变更的范围，但不超过10%。主药按标示量100%投料。 </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2.2、研究验证工作</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（1）说明变更的具体情况和变更的原因，对变更后的处方进行研究。</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（2）对三批变更后样品进行检验。</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（3）提供变更后一批样品的批生产记录。</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（4）对变更前后样品进行比较研究，变更前后药物溶出行为、或与体内吸收和疗效有关的重要理化性质和指标、杂质状况保持一致。 </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（5）对变更后一批样品进行加速及长期稳定性考察，申请时提供不少于3个月的稳定性研究资料，并与变更前产品的稳定性情况进行比较。 </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3、非无菌半固体制剂</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3.1、变更情况</w:t>
      </w:r>
    </w:p>
    <w:p>
      <w:pPr>
        <w:keepNext w:val="0"/>
        <w:keepLines w:val="0"/>
        <w:pageBreakBefore w:val="0"/>
        <w:widowControl w:val="0"/>
        <w:kinsoku/>
        <w:wordWrap/>
        <w:overflowPunct w:val="0"/>
        <w:topLinePunct w:val="0"/>
        <w:bidi w:val="0"/>
        <w:spacing w:line="360" w:lineRule="auto"/>
        <w:ind w:firstLine="48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包括但不限于以下情形：</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（1）变更辅料用量。</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各辅料用量的变更超过微小变更的范围，但不超过原批准用量的10%。所有辅料用量的变更总和不超过10%。由于处方改变而导致稀释剂（如水）用量变更允许超出此范围。</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等线" w:cs="Times New Roman"/>
          <w:sz w:val="28"/>
          <w:szCs w:val="28"/>
        </w:rPr>
      </w:pPr>
      <w:r>
        <w:rPr>
          <w:rFonts w:hint="default" w:ascii="Times New Roman" w:hAnsi="Times New Roman" w:eastAsia="仿宋_GB2312" w:cs="Times New Roman"/>
          <w:sz w:val="28"/>
          <w:szCs w:val="28"/>
        </w:rPr>
        <w:t xml:space="preserve">（2）防腐剂用量的变更大于原批准用量的10%，不超过20% 。 </w:t>
      </w:r>
    </w:p>
    <w:p>
      <w:pPr>
        <w:keepNext w:val="0"/>
        <w:keepLines w:val="0"/>
        <w:pageBreakBefore w:val="0"/>
        <w:widowControl w:val="0"/>
        <w:kinsoku/>
        <w:wordWrap/>
        <w:overflowPunct w:val="0"/>
        <w:topLinePunct w:val="0"/>
        <w:bidi w:val="0"/>
        <w:spacing w:line="360" w:lineRule="auto"/>
        <w:ind w:firstLine="560" w:firstLineChars="200"/>
        <w:textAlignment w:val="baseline"/>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（3）微小变更中未涵盖的赋形剂供应商的变更。 </w:t>
      </w:r>
    </w:p>
    <w:p>
      <w:pPr>
        <w:keepNext w:val="0"/>
        <w:keepLines w:val="0"/>
        <w:pageBreakBefore w:val="0"/>
        <w:widowControl w:val="0"/>
        <w:kinsoku/>
        <w:wordWrap/>
        <w:overflowPunct w:val="0"/>
        <w:topLinePunct w:val="0"/>
        <w:bidi w:val="0"/>
        <w:spacing w:line="360" w:lineRule="auto"/>
        <w:ind w:firstLine="560" w:firstLineChars="200"/>
        <w:textAlignment w:val="baseline"/>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（4）变更赋形剂的级别、质量标准（质量标准的微小变更除外）。  </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3.2、研究验证工作</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（1）说明变更的具体情况和原因，对变更后的处方进行研究。</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（2）对变更后连续生产的三批样品进行检验。</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（3）提供变更后一批样品的批生产记录。</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（4）对变更前后样品进行比较研究，变更前后药物释放行为、或与体内吸收和疗效有关的重要理化性质和指标、杂质状况保持一致。 </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（5）对变更后一批样品进行加速及长期稳定性考察，申请时提供不少于3个月的稳定性研究资料，并与变更前产品的稳定性情况进行比较。 </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（6）如变更防腐剂，应进行规定范围内抑菌剂最低浓度的抑菌效力试验。 </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（三）重大变更</w:t>
      </w:r>
    </w:p>
    <w:p>
      <w:pPr>
        <w:keepNext w:val="0"/>
        <w:keepLines w:val="0"/>
        <w:pageBreakBefore w:val="0"/>
        <w:widowControl w:val="0"/>
        <w:kinsoku/>
        <w:wordWrap/>
        <w:overflowPunct w:val="0"/>
        <w:topLinePunct w:val="0"/>
        <w:bidi w:val="0"/>
        <w:spacing w:line="360" w:lineRule="auto"/>
        <w:ind w:firstLine="48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1、普通口服固体制剂</w:t>
      </w:r>
    </w:p>
    <w:p>
      <w:pPr>
        <w:keepNext w:val="0"/>
        <w:keepLines w:val="0"/>
        <w:pageBreakBefore w:val="0"/>
        <w:widowControl w:val="0"/>
        <w:kinsoku/>
        <w:wordWrap/>
        <w:overflowPunct w:val="0"/>
        <w:topLinePunct w:val="0"/>
        <w:bidi w:val="0"/>
        <w:spacing w:line="360" w:lineRule="auto"/>
        <w:ind w:firstLine="48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1.1、变更情况</w:t>
      </w:r>
    </w:p>
    <w:p>
      <w:pPr>
        <w:keepNext w:val="0"/>
        <w:keepLines w:val="0"/>
        <w:pageBreakBefore w:val="0"/>
        <w:widowControl w:val="0"/>
        <w:kinsoku/>
        <w:wordWrap/>
        <w:overflowPunct w:val="0"/>
        <w:topLinePunct w:val="0"/>
        <w:bidi w:val="0"/>
        <w:spacing w:line="360" w:lineRule="auto"/>
        <w:ind w:firstLine="48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此类变更包括但不限于以下情形：</w:t>
      </w:r>
    </w:p>
    <w:p>
      <w:pPr>
        <w:keepNext w:val="0"/>
        <w:keepLines w:val="0"/>
        <w:pageBreakBefore w:val="0"/>
        <w:widowControl w:val="0"/>
        <w:kinsoku/>
        <w:wordWrap/>
        <w:overflowPunct w:val="0"/>
        <w:topLinePunct w:val="0"/>
        <w:bidi w:val="0"/>
        <w:spacing w:line="360" w:lineRule="auto"/>
        <w:ind w:firstLine="48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（1）辅料用量变化超过了中等变更的范围。</w:t>
      </w:r>
    </w:p>
    <w:p>
      <w:pPr>
        <w:keepNext w:val="0"/>
        <w:keepLines w:val="0"/>
        <w:pageBreakBefore w:val="0"/>
        <w:widowControl w:val="0"/>
        <w:kinsoku/>
        <w:wordWrap/>
        <w:overflowPunct w:val="0"/>
        <w:topLinePunct w:val="0"/>
        <w:bidi w:val="0"/>
        <w:spacing w:line="360" w:lineRule="auto"/>
        <w:ind w:firstLine="48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（2）治疗窗窄的药物的辅料用量变化超过了微小变更的范围。</w:t>
      </w:r>
    </w:p>
    <w:p>
      <w:pPr>
        <w:keepNext w:val="0"/>
        <w:keepLines w:val="0"/>
        <w:pageBreakBefore w:val="0"/>
        <w:widowControl w:val="0"/>
        <w:kinsoku/>
        <w:wordWrap/>
        <w:overflowPunct w:val="0"/>
        <w:topLinePunct w:val="0"/>
        <w:bidi w:val="0"/>
        <w:spacing w:line="360" w:lineRule="auto"/>
        <w:ind w:firstLine="48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（3）低溶解性、低渗透性药物（BCSⅣ类）的辅料用量变化超过了微小变更的范围。</w:t>
      </w:r>
    </w:p>
    <w:p>
      <w:pPr>
        <w:keepNext w:val="0"/>
        <w:keepLines w:val="0"/>
        <w:pageBreakBefore w:val="0"/>
        <w:widowControl w:val="0"/>
        <w:kinsoku/>
        <w:wordWrap/>
        <w:overflowPunct w:val="0"/>
        <w:topLinePunct w:val="0"/>
        <w:bidi w:val="0"/>
        <w:spacing w:line="360" w:lineRule="auto"/>
        <w:ind w:firstLine="48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（4）变更前后样品的溶出行为不一致。</w:t>
      </w:r>
    </w:p>
    <w:p>
      <w:pPr>
        <w:keepNext w:val="0"/>
        <w:keepLines w:val="0"/>
        <w:pageBreakBefore w:val="0"/>
        <w:widowControl w:val="0"/>
        <w:kinsoku/>
        <w:wordWrap/>
        <w:overflowPunct w:val="0"/>
        <w:topLinePunct w:val="0"/>
        <w:bidi w:val="0"/>
        <w:spacing w:line="360" w:lineRule="auto"/>
        <w:ind w:firstLine="48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1.2、研究验证工作</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（1）说明变更的具体情况和变更的原因，对变更后的处方进行研究和验证。</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（2）对变更后连续生产的三批样品进行检验。</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（3）提供变更后一批样品的批生产记录。</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（4）根据变更的具体情况、制剂特点及药物性质，选择适当的项目对变更前后样品进行比较研究，重点比较变更前后药物的溶出行为，或与体内吸收和疗效有关的重要理化性质和指标，杂质状况等。 </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（5）对变更后三批样品进行加速及长期稳定性考察，申请时提供3～6个月的稳定性研究资料，并与变更前产品的稳定性情况进行比较。 </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（6）一般需考虑进行生物等效性研究。如申请免除生物等效性研究，需进行充分的研究和分析。</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2、口服缓释/控释制剂、肠溶制剂</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2.1、变更情况</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（1）非释药控制性辅料用量的变化超过了中等变更的范围。</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（2）释药控制性辅料用量的变化超过了中等变更的范围。</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（3）治疗窗窄的药物的释药控制性辅料用量的变化超过了微小变更的范围。</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sz w:val="28"/>
          <w:szCs w:val="28"/>
        </w:rPr>
        <w:t>（4）变更前后样品的释放行为不一致。</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2.2、研究验证工作</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（1）说明具体变更情况和原因，对变更后的处方进行研究和验证。</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（2）对变更后连续生产的三批样品进行检验。</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（3）提供变更后一批样品的批生产记录。</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（4）根据变更的具体情况、制剂特点及药物性质，选择适当的项目对变更前后药品进行比较研究，重点比较变更前后药物的释放行为，或与体内吸收和疗效有关的重要理化性质和指标，杂质状况等。 </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（5）对变更后三批样品进行加速及长期稳定性考察，申请时提供3～6个月的稳定性研究资料，并与变更前产品的稳定性情况进行比较。 </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（6）一般需考虑进行生物等效性研究。如申请免除生物等效性研究，需进行充分的研究和分析。</w:t>
      </w:r>
    </w:p>
    <w:p>
      <w:pPr>
        <w:keepNext w:val="0"/>
        <w:keepLines w:val="0"/>
        <w:pageBreakBefore w:val="0"/>
        <w:widowControl w:val="0"/>
        <w:kinsoku/>
        <w:wordWrap/>
        <w:overflowPunct w:val="0"/>
        <w:topLinePunct w:val="0"/>
        <w:bidi w:val="0"/>
        <w:spacing w:line="360" w:lineRule="auto"/>
        <w:ind w:firstLine="48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3、非无菌半固体制剂</w:t>
      </w:r>
    </w:p>
    <w:p>
      <w:pPr>
        <w:keepNext w:val="0"/>
        <w:keepLines w:val="0"/>
        <w:pageBreakBefore w:val="0"/>
        <w:widowControl w:val="0"/>
        <w:kinsoku/>
        <w:wordWrap/>
        <w:overflowPunct w:val="0"/>
        <w:topLinePunct w:val="0"/>
        <w:bidi w:val="0"/>
        <w:spacing w:line="360" w:lineRule="auto"/>
        <w:ind w:firstLine="48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3.1、变更情况</w:t>
      </w:r>
    </w:p>
    <w:p>
      <w:pPr>
        <w:keepNext w:val="0"/>
        <w:keepLines w:val="0"/>
        <w:pageBreakBefore w:val="0"/>
        <w:widowControl w:val="0"/>
        <w:kinsoku/>
        <w:wordWrap/>
        <w:overflowPunct w:val="0"/>
        <w:topLinePunct w:val="0"/>
        <w:bidi w:val="0"/>
        <w:spacing w:line="360" w:lineRule="auto"/>
        <w:ind w:firstLine="48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此类变更包括但不限于以下情形：</w:t>
      </w:r>
    </w:p>
    <w:p>
      <w:pPr>
        <w:keepNext w:val="0"/>
        <w:keepLines w:val="0"/>
        <w:pageBreakBefore w:val="0"/>
        <w:widowControl w:val="0"/>
        <w:kinsoku/>
        <w:wordWrap/>
        <w:overflowPunct w:val="0"/>
        <w:topLinePunct w:val="0"/>
        <w:bidi w:val="0"/>
        <w:spacing w:line="360" w:lineRule="auto"/>
        <w:ind w:firstLine="48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（1）辅料用量的变更超过了中等变更的范围。</w:t>
      </w:r>
    </w:p>
    <w:p>
      <w:pPr>
        <w:keepNext w:val="0"/>
        <w:keepLines w:val="0"/>
        <w:pageBreakBefore w:val="0"/>
        <w:widowControl w:val="0"/>
        <w:kinsoku/>
        <w:wordWrap/>
        <w:overflowPunct w:val="0"/>
        <w:topLinePunct w:val="0"/>
        <w:bidi w:val="0"/>
        <w:spacing w:line="360" w:lineRule="auto"/>
        <w:ind w:firstLine="480"/>
        <w:rPr>
          <w:rFonts w:hint="default" w:ascii="Times New Roman" w:hAnsi="Times New Roman" w:eastAsia="等线" w:cs="Times New Roman"/>
          <w:sz w:val="28"/>
        </w:rPr>
      </w:pPr>
      <w:r>
        <w:rPr>
          <w:rFonts w:hint="default" w:ascii="Times New Roman" w:hAnsi="Times New Roman" w:eastAsia="仿宋_GB2312" w:cs="Times New Roman"/>
          <w:sz w:val="28"/>
          <w:szCs w:val="28"/>
        </w:rPr>
        <w:t>（2）防腐剂用量的变更超过原批准用量的20%（包括删除防腐剂）或者变更防腐剂种类。</w:t>
      </w:r>
    </w:p>
    <w:p>
      <w:pPr>
        <w:keepNext w:val="0"/>
        <w:keepLines w:val="0"/>
        <w:pageBreakBefore w:val="0"/>
        <w:widowControl w:val="0"/>
        <w:kinsoku/>
        <w:wordWrap/>
        <w:overflowPunct w:val="0"/>
        <w:topLinePunct w:val="0"/>
        <w:bidi w:val="0"/>
        <w:spacing w:line="360" w:lineRule="auto"/>
        <w:ind w:firstLine="48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3.2、研究验证工作</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（1）说明变更的具体情况和理由，对变更后处方进行研究和验证。</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（2）对变更后连续生产的三批样品进行检验。</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（3）提供变更后一批样品的批生产记录。</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（4）对变更前后样品进行比较研究，重点对比变更前后药物的释放行为，或与体内吸收和疗效有关的重要理化性质和指标，杂质状况等。</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（5）对变更后三批样品进行加速及长期稳定性考察，申请时提供3～6个月的稳定性研究资料，并与变更前产品的稳定性情况进行比较。 </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（6）如变更防腐剂，应进行规定范围内抑菌剂最低浓度的抑菌效力试验。对于新防腐剂，应建立新的含量测定方法，并进行相关的验证，证明防腐剂不干扰其他项目的检测。</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（7）一般需考虑进行体内生物等效性研究。如申请免除生物等效性研究，需进行充分的研究和分析。 </w:t>
      </w:r>
    </w:p>
    <w:p>
      <w:pPr>
        <w:keepNext w:val="0"/>
        <w:keepLines w:val="0"/>
        <w:pageBreakBefore w:val="0"/>
        <w:widowControl w:val="0"/>
        <w:kinsoku/>
        <w:wordWrap/>
        <w:overflowPunct w:val="0"/>
        <w:topLinePunct w:val="0"/>
        <w:bidi w:val="0"/>
        <w:spacing w:line="360" w:lineRule="auto"/>
        <w:ind w:firstLine="562" w:firstLineChars="200"/>
        <w:outlineLvl w:val="0"/>
        <w:rPr>
          <w:rFonts w:hint="default" w:ascii="Times New Roman" w:hAnsi="Times New Roman" w:eastAsia="仿宋_GB2312" w:cs="Times New Roman"/>
          <w:b/>
          <w:sz w:val="28"/>
          <w:szCs w:val="28"/>
        </w:rPr>
      </w:pPr>
      <w:bookmarkStart w:id="6" w:name="_Toc37574306"/>
      <w:r>
        <w:rPr>
          <w:rFonts w:hint="default" w:ascii="Times New Roman" w:hAnsi="Times New Roman" w:eastAsia="仿宋_GB2312" w:cs="Times New Roman"/>
          <w:b/>
          <w:sz w:val="28"/>
          <w:szCs w:val="28"/>
        </w:rPr>
        <w:t>五、变更制剂生产工艺</w:t>
      </w:r>
      <w:bookmarkEnd w:id="6"/>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kern w:val="0"/>
          <w:sz w:val="28"/>
          <w:szCs w:val="28"/>
        </w:rPr>
        <w:t>制剂生产工艺变更包括变更制剂生产工艺、变更制剂生产过程质量控制方法及限度、变更制剂生产设备。</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制剂生产工艺发生变更后，需进行相应的研究工作，评估变更对药品安全性、有效性和质量可控性的影响。研究工作宜根据以下方面综合进行：①变更对制剂的影响程度，②制剂生产工艺的复杂难易等。研究工作中宜重点关注生产工艺变更是否涉及制剂生产的关键环节或重要参数，因为这些关键生产环节或操作参数对保证药品质量非常重要。</w:t>
      </w:r>
      <w:r>
        <w:rPr>
          <w:rFonts w:hint="default" w:ascii="Times New Roman" w:hAnsi="Times New Roman" w:cs="Times New Roman"/>
        </w:rPr>
        <w:fldChar w:fldCharType="begin"/>
      </w:r>
      <w:r>
        <w:rPr>
          <w:rFonts w:hint="default" w:ascii="Times New Roman" w:hAnsi="Times New Roman" w:cs="Times New Roman"/>
        </w:rPr>
        <w:instrText xml:space="preserve"> HYPERLINK "http://lib.shilinx.com/wiki/index.php?title=%E5%88%86%E7%B1%BB:%E6%97%A0%E8%8F%8C" \o "分类:无菌" </w:instrText>
      </w:r>
      <w:r>
        <w:rPr>
          <w:rFonts w:hint="default" w:ascii="Times New Roman" w:hAnsi="Times New Roman" w:cs="Times New Roman"/>
        </w:rPr>
        <w:fldChar w:fldCharType="separate"/>
      </w:r>
      <w:r>
        <w:rPr>
          <w:rFonts w:hint="default" w:ascii="Times New Roman" w:hAnsi="Times New Roman" w:eastAsia="仿宋_GB2312" w:cs="Times New Roman"/>
          <w:kern w:val="0"/>
          <w:sz w:val="28"/>
          <w:szCs w:val="28"/>
        </w:rPr>
        <w:t>无菌</w:t>
      </w:r>
      <w:r>
        <w:rPr>
          <w:rFonts w:hint="default" w:ascii="Times New Roman" w:hAnsi="Times New Roman" w:eastAsia="仿宋_GB2312" w:cs="Times New Roman"/>
          <w:kern w:val="0"/>
          <w:sz w:val="28"/>
          <w:szCs w:val="28"/>
        </w:rPr>
        <w:fldChar w:fldCharType="end"/>
      </w:r>
      <w:r>
        <w:rPr>
          <w:rFonts w:hint="default" w:ascii="Times New Roman" w:hAnsi="Times New Roman" w:eastAsia="仿宋_GB2312" w:cs="Times New Roman"/>
          <w:kern w:val="0"/>
          <w:sz w:val="28"/>
          <w:szCs w:val="28"/>
        </w:rPr>
        <w:t>制剂的生产工艺变更不应降低产品的无菌保证水平。</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（一）微小变更</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1、变更情况</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此类变更包括但不限于以下情形：</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（1）增加新的生产过程</w:t>
      </w:r>
      <w:r>
        <w:rPr>
          <w:rFonts w:hint="default" w:ascii="Times New Roman" w:hAnsi="Times New Roman" w:cs="Times New Roman"/>
        </w:rPr>
        <w:fldChar w:fldCharType="begin"/>
      </w:r>
      <w:r>
        <w:rPr>
          <w:rFonts w:hint="default" w:ascii="Times New Roman" w:hAnsi="Times New Roman" w:cs="Times New Roman"/>
        </w:rPr>
        <w:instrText xml:space="preserve"> HYPERLINK "http://lib.shilinx.com/wiki/index.php?title=%E5%88%86%E7%B1%BB:%E6%8E%A7%E5%88%B6%E7%AD%96%E7%95%A5" \o "分类:控制策略" </w:instrText>
      </w:r>
      <w:r>
        <w:rPr>
          <w:rFonts w:hint="default" w:ascii="Times New Roman" w:hAnsi="Times New Roman" w:cs="Times New Roman"/>
        </w:rPr>
        <w:fldChar w:fldCharType="separate"/>
      </w:r>
      <w:r>
        <w:rPr>
          <w:rFonts w:hint="default" w:ascii="Times New Roman" w:hAnsi="Times New Roman" w:eastAsia="仿宋_GB2312" w:cs="Times New Roman"/>
          <w:kern w:val="0"/>
          <w:sz w:val="28"/>
          <w:szCs w:val="28"/>
        </w:rPr>
        <w:t>控制的方法</w:t>
      </w:r>
      <w:r>
        <w:rPr>
          <w:rFonts w:hint="default" w:ascii="Times New Roman" w:hAnsi="Times New Roman" w:eastAsia="仿宋_GB2312" w:cs="Times New Roman"/>
          <w:kern w:val="0"/>
          <w:sz w:val="28"/>
          <w:szCs w:val="28"/>
        </w:rPr>
        <w:fldChar w:fldCharType="end"/>
      </w:r>
      <w:r>
        <w:rPr>
          <w:rFonts w:hint="default" w:ascii="Times New Roman" w:hAnsi="Times New Roman" w:eastAsia="仿宋_GB2312" w:cs="Times New Roman"/>
          <w:kern w:val="0"/>
          <w:sz w:val="28"/>
          <w:szCs w:val="28"/>
        </w:rPr>
        <w:t>，以更好地控制药品生产和保证药品质量。如果因为制剂生产过程中出现工艺缺陷或稳定性问题而进行的上述变更，不属于此类变更的范围。</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（2）片剂硬度的变更，但变更前后的药物溶出行为没有改变。</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（3）普通口服固体制剂混合时间（粉末混合、颗粒混合）和干燥时间的变更；溶液型制剂混合时间的变更。</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上述变更均不应改变中间体内控标准或过程控制的限度。</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（4）普通口服</w:t>
      </w:r>
      <w:r>
        <w:rPr>
          <w:rFonts w:hint="default" w:ascii="Times New Roman" w:hAnsi="Times New Roman" w:cs="Times New Roman"/>
        </w:rPr>
        <w:fldChar w:fldCharType="begin"/>
      </w:r>
      <w:r>
        <w:rPr>
          <w:rFonts w:hint="default" w:ascii="Times New Roman" w:hAnsi="Times New Roman" w:cs="Times New Roman"/>
        </w:rPr>
        <w:instrText xml:space="preserve"> HYPERLINK "http://lib.shilinx.com/wiki/index.php?title=%E5%88%86%E7%B1%BB:%E7%89%87%E5%89%82" \o "分类:片剂" </w:instrText>
      </w:r>
      <w:r>
        <w:rPr>
          <w:rFonts w:hint="default" w:ascii="Times New Roman" w:hAnsi="Times New Roman" w:cs="Times New Roman"/>
        </w:rPr>
        <w:fldChar w:fldCharType="separate"/>
      </w:r>
      <w:r>
        <w:rPr>
          <w:rFonts w:hint="default" w:ascii="Times New Roman" w:hAnsi="Times New Roman" w:eastAsia="仿宋_GB2312" w:cs="Times New Roman"/>
          <w:kern w:val="0"/>
          <w:sz w:val="28"/>
          <w:szCs w:val="28"/>
        </w:rPr>
        <w:t>片剂</w:t>
      </w:r>
      <w:r>
        <w:rPr>
          <w:rFonts w:hint="default" w:ascii="Times New Roman" w:hAnsi="Times New Roman" w:eastAsia="仿宋_GB2312" w:cs="Times New Roman"/>
          <w:kern w:val="0"/>
          <w:sz w:val="28"/>
          <w:szCs w:val="28"/>
        </w:rPr>
        <w:fldChar w:fldCharType="end"/>
      </w:r>
      <w:r>
        <w:rPr>
          <w:rFonts w:hint="default" w:ascii="Times New Roman" w:hAnsi="Times New Roman" w:eastAsia="仿宋_GB2312" w:cs="Times New Roman"/>
          <w:kern w:val="0"/>
          <w:sz w:val="28"/>
          <w:szCs w:val="28"/>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"http://lib.shilinx.com/wiki/index.php?title=%E5%88%86%E7%B1%BB:%E8%83%B6%E5%9B%8A" \o "分类:胶囊" </w:instrText>
      </w:r>
      <w:r>
        <w:rPr>
          <w:rFonts w:hint="default" w:ascii="Times New Roman" w:hAnsi="Times New Roman" w:cs="Times New Roman"/>
        </w:rPr>
        <w:fldChar w:fldCharType="separate"/>
      </w:r>
      <w:r>
        <w:rPr>
          <w:rFonts w:hint="default" w:ascii="Times New Roman" w:hAnsi="Times New Roman" w:eastAsia="仿宋_GB2312" w:cs="Times New Roman"/>
          <w:kern w:val="0"/>
          <w:sz w:val="28"/>
          <w:szCs w:val="28"/>
        </w:rPr>
        <w:t>胶囊</w:t>
      </w:r>
      <w:r>
        <w:rPr>
          <w:rFonts w:hint="default" w:ascii="Times New Roman" w:hAnsi="Times New Roman" w:eastAsia="仿宋_GB2312" w:cs="Times New Roman"/>
          <w:kern w:val="0"/>
          <w:sz w:val="28"/>
          <w:szCs w:val="28"/>
        </w:rPr>
        <w:fldChar w:fldCharType="end"/>
      </w:r>
      <w:r>
        <w:rPr>
          <w:rFonts w:hint="default" w:ascii="Times New Roman" w:hAnsi="Times New Roman" w:eastAsia="仿宋_GB2312" w:cs="Times New Roman"/>
          <w:kern w:val="0"/>
          <w:sz w:val="28"/>
          <w:szCs w:val="28"/>
        </w:rPr>
        <w:t>剂或栓剂形状、尺寸的微小变化，但变更前后的药物溶出行为没有改变。例如，片剂边缘或表面弧度的轻微调整。</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kern w:val="0"/>
          <w:sz w:val="28"/>
          <w:szCs w:val="28"/>
        </w:rPr>
        <w:t>（5）普通口服固体制剂、栓剂印记变更。这种变更包括在</w:t>
      </w:r>
      <w:r>
        <w:rPr>
          <w:rFonts w:hint="default" w:ascii="Times New Roman" w:hAnsi="Times New Roman" w:cs="Times New Roman"/>
        </w:rPr>
        <w:fldChar w:fldCharType="begin"/>
      </w:r>
      <w:r>
        <w:rPr>
          <w:rFonts w:hint="default" w:ascii="Times New Roman" w:hAnsi="Times New Roman" w:cs="Times New Roman"/>
        </w:rPr>
        <w:instrText xml:space="preserve"> HYPERLINK "http://lib.shilinx.com/wiki/index.php?title=%E5%88%86%E7%B1%BB:%E7%89%87%E5%89%82" \o "分类:片剂" </w:instrText>
      </w:r>
      <w:r>
        <w:rPr>
          <w:rFonts w:hint="default" w:ascii="Times New Roman" w:hAnsi="Times New Roman" w:cs="Times New Roman"/>
        </w:rPr>
        <w:fldChar w:fldCharType="separate"/>
      </w:r>
      <w:r>
        <w:rPr>
          <w:rFonts w:hint="default" w:ascii="Times New Roman" w:hAnsi="Times New Roman" w:eastAsia="仿宋_GB2312" w:cs="Times New Roman"/>
          <w:kern w:val="0"/>
          <w:sz w:val="28"/>
          <w:szCs w:val="28"/>
        </w:rPr>
        <w:t>片剂</w:t>
      </w:r>
      <w:r>
        <w:rPr>
          <w:rFonts w:hint="default" w:ascii="Times New Roman" w:hAnsi="Times New Roman" w:eastAsia="仿宋_GB2312" w:cs="Times New Roman"/>
          <w:kern w:val="0"/>
          <w:sz w:val="28"/>
          <w:szCs w:val="28"/>
        </w:rPr>
        <w:fldChar w:fldCharType="end"/>
      </w:r>
      <w:r>
        <w:rPr>
          <w:rFonts w:hint="default" w:ascii="Times New Roman" w:hAnsi="Times New Roman" w:eastAsia="仿宋_GB2312" w:cs="Times New Roman"/>
          <w:kern w:val="0"/>
          <w:sz w:val="28"/>
          <w:szCs w:val="28"/>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"http://lib.shilinx.com/wiki/index.php?title=%E5%88%86%E7%B1%BB:%E8%83%B6%E5%9B%8A" \o "分类:胶囊" </w:instrText>
      </w:r>
      <w:r>
        <w:rPr>
          <w:rFonts w:hint="default" w:ascii="Times New Roman" w:hAnsi="Times New Roman" w:cs="Times New Roman"/>
        </w:rPr>
        <w:fldChar w:fldCharType="separate"/>
      </w:r>
      <w:r>
        <w:rPr>
          <w:rFonts w:hint="default" w:ascii="Times New Roman" w:hAnsi="Times New Roman" w:eastAsia="仿宋_GB2312" w:cs="Times New Roman"/>
          <w:kern w:val="0"/>
          <w:sz w:val="28"/>
          <w:szCs w:val="28"/>
        </w:rPr>
        <w:t>胶囊</w:t>
      </w:r>
      <w:r>
        <w:rPr>
          <w:rFonts w:hint="default" w:ascii="Times New Roman" w:hAnsi="Times New Roman" w:eastAsia="仿宋_GB2312" w:cs="Times New Roman"/>
          <w:kern w:val="0"/>
          <w:sz w:val="28"/>
          <w:szCs w:val="28"/>
        </w:rPr>
        <w:fldChar w:fldCharType="end"/>
      </w:r>
      <w:r>
        <w:rPr>
          <w:rFonts w:hint="default" w:ascii="Times New Roman" w:hAnsi="Times New Roman" w:eastAsia="仿宋_GB2312" w:cs="Times New Roman"/>
          <w:kern w:val="0"/>
          <w:sz w:val="28"/>
          <w:szCs w:val="28"/>
        </w:rPr>
        <w:t>剂或栓剂表面增加、删除或修改印字、标记等，但功能性刻痕除外。</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（6）溶液型制剂或用于单元操作的溶液（如制粒溶液）中的组份（原料药除外）加入顺序、非无菌半固体制剂的水相配制时或油相配制时辅料的加入顺序的变更。</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（7）去除或减少之前用于补偿生产损耗而造成的制剂生产批的处方过量投料。</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（8）设计和工作原理相同的生产设备的变更，但已批准的生产工艺或过程控制限度不变。</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（9）非无菌条件下物料前处理增加过筛步骤，以除去结块。</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（10）采用</w:t>
      </w:r>
      <w:r>
        <w:rPr>
          <w:rFonts w:hint="default" w:ascii="Times New Roman" w:hAnsi="Times New Roman" w:cs="Times New Roman"/>
        </w:rPr>
        <w:fldChar w:fldCharType="begin"/>
      </w:r>
      <w:r>
        <w:rPr>
          <w:rFonts w:hint="default" w:ascii="Times New Roman" w:hAnsi="Times New Roman" w:cs="Times New Roman"/>
        </w:rPr>
        <w:instrText xml:space="preserve"> HYPERLINK "http://lib.shilinx.com/wiki/index.php?title=%E5%88%86%E7%B1%BB:%E6%9C%80%E7%BB%88%E7%81%AD%E8%8F%8C" \o "分类:最终灭菌" </w:instrText>
      </w:r>
      <w:r>
        <w:rPr>
          <w:rFonts w:hint="default" w:ascii="Times New Roman" w:hAnsi="Times New Roman" w:cs="Times New Roman"/>
        </w:rPr>
        <w:fldChar w:fldCharType="separate"/>
      </w:r>
      <w:r>
        <w:rPr>
          <w:rFonts w:hint="default" w:ascii="Times New Roman" w:hAnsi="Times New Roman" w:eastAsia="仿宋_GB2312" w:cs="Times New Roman"/>
          <w:kern w:val="0"/>
          <w:sz w:val="28"/>
          <w:szCs w:val="28"/>
        </w:rPr>
        <w:t>终端灭菌</w:t>
      </w:r>
      <w:r>
        <w:rPr>
          <w:rFonts w:hint="default" w:ascii="Times New Roman" w:hAnsi="Times New Roman" w:eastAsia="仿宋_GB2312" w:cs="Times New Roman"/>
          <w:kern w:val="0"/>
          <w:sz w:val="28"/>
          <w:szCs w:val="28"/>
        </w:rPr>
        <w:fldChar w:fldCharType="end"/>
      </w:r>
      <w:r>
        <w:rPr>
          <w:rFonts w:hint="default" w:ascii="Times New Roman" w:hAnsi="Times New Roman" w:eastAsia="仿宋_GB2312" w:cs="Times New Roman"/>
          <w:kern w:val="0"/>
          <w:sz w:val="28"/>
          <w:szCs w:val="28"/>
        </w:rPr>
        <w:t>工艺生产的</w:t>
      </w:r>
      <w:r>
        <w:rPr>
          <w:rFonts w:hint="default" w:ascii="Times New Roman" w:hAnsi="Times New Roman" w:cs="Times New Roman"/>
        </w:rPr>
        <w:fldChar w:fldCharType="begin"/>
      </w:r>
      <w:r>
        <w:rPr>
          <w:rFonts w:hint="default" w:ascii="Times New Roman" w:hAnsi="Times New Roman" w:cs="Times New Roman"/>
        </w:rPr>
        <w:instrText xml:space="preserve"> HYPERLINK "http://lib.shilinx.com/wiki/index.php?title=%E5%88%86%E7%B1%BB:%E6%97%A0%E8%8F%8C" \o "分类:无菌" </w:instrText>
      </w:r>
      <w:r>
        <w:rPr>
          <w:rFonts w:hint="default" w:ascii="Times New Roman" w:hAnsi="Times New Roman" w:cs="Times New Roman"/>
        </w:rPr>
        <w:fldChar w:fldCharType="separate"/>
      </w:r>
      <w:r>
        <w:rPr>
          <w:rFonts w:hint="default" w:ascii="Times New Roman" w:hAnsi="Times New Roman" w:eastAsia="仿宋_GB2312" w:cs="Times New Roman"/>
          <w:kern w:val="0"/>
          <w:sz w:val="28"/>
          <w:szCs w:val="28"/>
        </w:rPr>
        <w:t>无菌</w:t>
      </w:r>
      <w:r>
        <w:rPr>
          <w:rFonts w:hint="default" w:ascii="Times New Roman" w:hAnsi="Times New Roman" w:eastAsia="仿宋_GB2312" w:cs="Times New Roman"/>
          <w:kern w:val="0"/>
          <w:sz w:val="28"/>
          <w:szCs w:val="28"/>
        </w:rPr>
        <w:fldChar w:fldCharType="end"/>
      </w:r>
      <w:r>
        <w:rPr>
          <w:rFonts w:hint="default" w:ascii="Times New Roman" w:hAnsi="Times New Roman" w:eastAsia="仿宋_GB2312" w:cs="Times New Roman"/>
          <w:kern w:val="0"/>
          <w:sz w:val="28"/>
          <w:szCs w:val="28"/>
        </w:rPr>
        <w:t>制剂，过滤步骤的工艺参数变更。</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2、研究验证工作</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（1）说明变更的具体情况和原因，提供相关研究资料。</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（2）提供变更后一批样品的批生产记录。</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（3）对变更后一批样品进行检验。</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（4）进行溶出度/释放度检查。</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（5）在年报中报告首批样品的长期稳定性试验数据。</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（二）中等变更</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此类变更不应引起制剂生产工艺的根本性改变。</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1、变更情况</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此类变更包括但不限于以下情形：</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（1）普通口服</w:t>
      </w:r>
      <w:r>
        <w:rPr>
          <w:rFonts w:hint="default" w:ascii="Times New Roman" w:hAnsi="Times New Roman" w:cs="Times New Roman"/>
        </w:rPr>
        <w:fldChar w:fldCharType="begin"/>
      </w:r>
      <w:r>
        <w:rPr>
          <w:rFonts w:hint="default" w:ascii="Times New Roman" w:hAnsi="Times New Roman" w:cs="Times New Roman"/>
        </w:rPr>
        <w:instrText xml:space="preserve"> HYPERLINK "http://lib.shilinx.com/wiki/index.php?title=%E5%88%86%E7%B1%BB:%E7%89%87%E5%89%82" \o "分类:片剂" </w:instrText>
      </w:r>
      <w:r>
        <w:rPr>
          <w:rFonts w:hint="default" w:ascii="Times New Roman" w:hAnsi="Times New Roman" w:cs="Times New Roman"/>
        </w:rPr>
        <w:fldChar w:fldCharType="separate"/>
      </w:r>
      <w:r>
        <w:rPr>
          <w:rFonts w:hint="default" w:ascii="Times New Roman" w:hAnsi="Times New Roman" w:eastAsia="仿宋_GB2312" w:cs="Times New Roman"/>
          <w:kern w:val="0"/>
          <w:sz w:val="28"/>
          <w:szCs w:val="28"/>
        </w:rPr>
        <w:t>片剂</w:t>
      </w:r>
      <w:r>
        <w:rPr>
          <w:rFonts w:hint="default" w:ascii="Times New Roman" w:hAnsi="Times New Roman" w:eastAsia="仿宋_GB2312" w:cs="Times New Roman"/>
          <w:kern w:val="0"/>
          <w:sz w:val="28"/>
          <w:szCs w:val="28"/>
        </w:rPr>
        <w:fldChar w:fldCharType="end"/>
      </w:r>
      <w:r>
        <w:rPr>
          <w:rFonts w:hint="default" w:ascii="Times New Roman" w:hAnsi="Times New Roman" w:eastAsia="仿宋_GB2312" w:cs="Times New Roman"/>
          <w:kern w:val="0"/>
          <w:sz w:val="28"/>
          <w:szCs w:val="28"/>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"http://lib.shilinx.com/wiki/index.php?title=%E5%88%86%E7%B1%BB:%E8%83%B6%E5%9B%8A" \o "分类:胶囊" </w:instrText>
      </w:r>
      <w:r>
        <w:rPr>
          <w:rFonts w:hint="default" w:ascii="Times New Roman" w:hAnsi="Times New Roman" w:cs="Times New Roman"/>
        </w:rPr>
        <w:fldChar w:fldCharType="separate"/>
      </w:r>
      <w:r>
        <w:rPr>
          <w:rFonts w:hint="default" w:ascii="Times New Roman" w:hAnsi="Times New Roman" w:eastAsia="仿宋_GB2312" w:cs="Times New Roman"/>
          <w:kern w:val="0"/>
          <w:sz w:val="28"/>
          <w:szCs w:val="28"/>
        </w:rPr>
        <w:t>胶囊</w:t>
      </w:r>
      <w:r>
        <w:rPr>
          <w:rFonts w:hint="default" w:ascii="Times New Roman" w:hAnsi="Times New Roman" w:eastAsia="仿宋_GB2312" w:cs="Times New Roman"/>
          <w:kern w:val="0"/>
          <w:sz w:val="28"/>
          <w:szCs w:val="28"/>
        </w:rPr>
        <w:fldChar w:fldCharType="end"/>
      </w:r>
      <w:r>
        <w:rPr>
          <w:rFonts w:hint="default" w:ascii="Times New Roman" w:hAnsi="Times New Roman" w:eastAsia="仿宋_GB2312" w:cs="Times New Roman"/>
          <w:kern w:val="0"/>
          <w:sz w:val="28"/>
          <w:szCs w:val="28"/>
        </w:rPr>
        <w:t>剂或栓剂形状、尺寸的显著变化，但变更前后的药物溶出行为没有改变。例如，圆形改为异形等。</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（2）普通口服制剂及非无菌半固体制剂生产中采用设计和工作原理不同的设备替代另一种设备。例如，高速剪切制粒机变更为流化床制粒机，双锥型混合机变更为三维运动混合机。</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（3）对于</w:t>
      </w:r>
      <w:r>
        <w:rPr>
          <w:rFonts w:hint="default" w:ascii="Times New Roman" w:hAnsi="Times New Roman" w:cs="Times New Roman"/>
        </w:rPr>
        <w:fldChar w:fldCharType="begin"/>
      </w:r>
      <w:r>
        <w:rPr>
          <w:rFonts w:hint="default" w:ascii="Times New Roman" w:hAnsi="Times New Roman" w:cs="Times New Roman"/>
        </w:rPr>
        <w:instrText xml:space="preserve"> HYPERLINK "http://lib.shilinx.com/wiki/index.php?title=%E5%88%86%E7%B1%BB:%E6%97%A0%E8%8F%8C" \o "分类:无菌" </w:instrText>
      </w:r>
      <w:r>
        <w:rPr>
          <w:rFonts w:hint="default" w:ascii="Times New Roman" w:hAnsi="Times New Roman" w:cs="Times New Roman"/>
        </w:rPr>
        <w:fldChar w:fldCharType="separate"/>
      </w:r>
      <w:r>
        <w:rPr>
          <w:rFonts w:hint="default" w:ascii="Times New Roman" w:hAnsi="Times New Roman" w:eastAsia="仿宋_GB2312" w:cs="Times New Roman"/>
          <w:kern w:val="0"/>
          <w:sz w:val="28"/>
          <w:szCs w:val="28"/>
        </w:rPr>
        <w:t>无菌</w:t>
      </w:r>
      <w:r>
        <w:rPr>
          <w:rFonts w:hint="default" w:ascii="Times New Roman" w:hAnsi="Times New Roman" w:eastAsia="仿宋_GB2312" w:cs="Times New Roman"/>
          <w:kern w:val="0"/>
          <w:sz w:val="28"/>
          <w:szCs w:val="28"/>
        </w:rPr>
        <w:fldChar w:fldCharType="end"/>
      </w:r>
      <w:r>
        <w:rPr>
          <w:rFonts w:hint="default" w:ascii="Times New Roman" w:hAnsi="Times New Roman" w:eastAsia="仿宋_GB2312" w:cs="Times New Roman"/>
          <w:kern w:val="0"/>
          <w:sz w:val="28"/>
          <w:szCs w:val="28"/>
        </w:rPr>
        <w:t>制剂，包括以下情形：</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①采用</w:t>
      </w:r>
      <w:r>
        <w:rPr>
          <w:rFonts w:hint="default" w:ascii="Times New Roman" w:hAnsi="Times New Roman" w:cs="Times New Roman"/>
        </w:rPr>
        <w:fldChar w:fldCharType="begin"/>
      </w:r>
      <w:r>
        <w:rPr>
          <w:rFonts w:hint="default" w:ascii="Times New Roman" w:hAnsi="Times New Roman" w:cs="Times New Roman"/>
        </w:rPr>
        <w:instrText xml:space="preserve"> HYPERLINK "http://lib.shilinx.com/wiki/index.php?title=%E5%88%86%E7%B1%BB:%E6%9C%80%E7%BB%88%E7%81%AD%E8%8F%8C" \o "分类:最终灭菌" </w:instrText>
      </w:r>
      <w:r>
        <w:rPr>
          <w:rFonts w:hint="default" w:ascii="Times New Roman" w:hAnsi="Times New Roman" w:cs="Times New Roman"/>
        </w:rPr>
        <w:fldChar w:fldCharType="separate"/>
      </w:r>
      <w:r>
        <w:rPr>
          <w:rFonts w:hint="default" w:ascii="Times New Roman" w:hAnsi="Times New Roman" w:eastAsia="仿宋_GB2312" w:cs="Times New Roman"/>
          <w:kern w:val="0"/>
          <w:sz w:val="28"/>
          <w:szCs w:val="28"/>
        </w:rPr>
        <w:t>终端灭菌</w:t>
      </w:r>
      <w:r>
        <w:rPr>
          <w:rFonts w:hint="default" w:ascii="Times New Roman" w:hAnsi="Times New Roman" w:eastAsia="仿宋_GB2312" w:cs="Times New Roman"/>
          <w:kern w:val="0"/>
          <w:sz w:val="28"/>
          <w:szCs w:val="28"/>
        </w:rPr>
        <w:fldChar w:fldCharType="end"/>
      </w:r>
      <w:r>
        <w:rPr>
          <w:rFonts w:hint="default" w:ascii="Times New Roman" w:hAnsi="Times New Roman" w:eastAsia="仿宋_GB2312" w:cs="Times New Roman"/>
          <w:kern w:val="0"/>
          <w:sz w:val="28"/>
          <w:szCs w:val="28"/>
        </w:rPr>
        <w:t>工艺生产的</w:t>
      </w:r>
      <w:r>
        <w:rPr>
          <w:rFonts w:hint="default" w:ascii="Times New Roman" w:hAnsi="Times New Roman" w:cs="Times New Roman"/>
        </w:rPr>
        <w:fldChar w:fldCharType="begin"/>
      </w:r>
      <w:r>
        <w:rPr>
          <w:rFonts w:hint="default" w:ascii="Times New Roman" w:hAnsi="Times New Roman" w:cs="Times New Roman"/>
        </w:rPr>
        <w:instrText xml:space="preserve"> HYPERLINK "http://lib.shilinx.com/wiki/index.php?title=%E5%88%86%E7%B1%BB:%E6%97%A0%E8%8F%8C" \o "分类:无菌" </w:instrText>
      </w:r>
      <w:r>
        <w:rPr>
          <w:rFonts w:hint="default" w:ascii="Times New Roman" w:hAnsi="Times New Roman" w:cs="Times New Roman"/>
        </w:rPr>
        <w:fldChar w:fldCharType="separate"/>
      </w:r>
      <w:r>
        <w:rPr>
          <w:rFonts w:hint="default" w:ascii="Times New Roman" w:hAnsi="Times New Roman" w:eastAsia="仿宋_GB2312" w:cs="Times New Roman"/>
          <w:kern w:val="0"/>
          <w:sz w:val="28"/>
          <w:szCs w:val="28"/>
        </w:rPr>
        <w:t>无菌</w:t>
      </w:r>
      <w:r>
        <w:rPr>
          <w:rFonts w:hint="default" w:ascii="Times New Roman" w:hAnsi="Times New Roman" w:eastAsia="仿宋_GB2312" w:cs="Times New Roman"/>
          <w:kern w:val="0"/>
          <w:sz w:val="28"/>
          <w:szCs w:val="28"/>
        </w:rPr>
        <w:fldChar w:fldCharType="end"/>
      </w:r>
      <w:r>
        <w:rPr>
          <w:rFonts w:hint="default" w:ascii="Times New Roman" w:hAnsi="Times New Roman" w:eastAsia="仿宋_GB2312" w:cs="Times New Roman"/>
          <w:kern w:val="0"/>
          <w:sz w:val="28"/>
          <w:szCs w:val="28"/>
        </w:rPr>
        <w:t>制剂，取消中间过程的滤过环节，或变更过滤器的材料和孔径；</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②变更除菌过滤过程的滤过参数（包括流速、压力、时间、或体积，但滤过材料和孔径不变），且超出原批准范围的。</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③除菌过滤</w:t>
      </w:r>
      <w:r>
        <w:rPr>
          <w:rFonts w:hint="default" w:ascii="Times New Roman" w:hAnsi="Times New Roman" w:cs="Times New Roman"/>
        </w:rPr>
        <w:fldChar w:fldCharType="begin"/>
      </w:r>
      <w:r>
        <w:rPr>
          <w:rFonts w:hint="default" w:ascii="Times New Roman" w:hAnsi="Times New Roman" w:cs="Times New Roman"/>
        </w:rPr>
        <w:instrText xml:space="preserve"> HYPERLINK "http://lib.shilinx.com/wiki/index.php?title=%E5%88%86%E7%B1%BB:%E5%B7%A5%E8%89%BA%E5%8F%98%E6%9B%B4" \o "分类:工艺变更" </w:instrText>
      </w:r>
      <w:r>
        <w:rPr>
          <w:rFonts w:hint="default" w:ascii="Times New Roman" w:hAnsi="Times New Roman" w:cs="Times New Roman"/>
        </w:rPr>
        <w:fldChar w:fldCharType="separate"/>
      </w:r>
      <w:r>
        <w:rPr>
          <w:rFonts w:hint="default" w:ascii="Times New Roman" w:hAnsi="Times New Roman" w:eastAsia="仿宋_GB2312" w:cs="Times New Roman"/>
          <w:kern w:val="0"/>
          <w:sz w:val="28"/>
          <w:szCs w:val="28"/>
        </w:rPr>
        <w:t>工艺</w:t>
      </w:r>
      <w:r>
        <w:rPr>
          <w:rFonts w:hint="default" w:ascii="Times New Roman" w:hAnsi="Times New Roman" w:eastAsia="仿宋_GB2312" w:cs="Times New Roman"/>
          <w:kern w:val="0"/>
          <w:sz w:val="28"/>
          <w:szCs w:val="28"/>
        </w:rPr>
        <w:fldChar w:fldCharType="end"/>
      </w:r>
      <w:r>
        <w:rPr>
          <w:rFonts w:hint="default" w:ascii="Times New Roman" w:hAnsi="Times New Roman" w:eastAsia="仿宋_GB2312" w:cs="Times New Roman"/>
          <w:kern w:val="0"/>
          <w:sz w:val="28"/>
          <w:szCs w:val="28"/>
        </w:rPr>
        <w:t xml:space="preserve">从单一过滤器改为两个无菌级过滤器串联，或药液重复过滤的变更。 </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④玻璃包装容器干热除热原工艺的变更。</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2、研究验证工作</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（1）说明变更的具体情况和原因，对变更后工艺进行研究和验证。对于无菌制剂，必要时还需进行无菌/灭菌工艺验证。</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（2）提供变更后一批样品的批生产记录。</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（3）对变更后连续生产的三批样品进行检验。</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（4）对变更前后的样品进行质量对比研究，变更前后样品的溶出/释放行为，或与体内吸收和疗效有关的重要理化性质和指标，杂质状况保持一致。</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kern w:val="0"/>
          <w:sz w:val="28"/>
          <w:szCs w:val="28"/>
        </w:rPr>
        <w:t>（5）</w:t>
      </w:r>
      <w:r>
        <w:rPr>
          <w:rFonts w:hint="default" w:ascii="Times New Roman" w:hAnsi="Times New Roman" w:eastAsia="仿宋_GB2312" w:cs="Times New Roman"/>
          <w:sz w:val="28"/>
          <w:szCs w:val="28"/>
        </w:rPr>
        <w:t xml:space="preserve">对变更后一批样品进行加速及长期稳定性考察，申请时提供不少于3个月的稳定性研究资料，并与变更前产品的稳定性情况进行比较。 </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（三）重大变更</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1、变更情况</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此类变更包括但不限于以下情形：</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（1）制剂生产过程或生产工艺发生重大变化的，如</w:t>
      </w:r>
      <w:r>
        <w:rPr>
          <w:rFonts w:hint="default" w:ascii="Times New Roman" w:hAnsi="Times New Roman" w:cs="Times New Roman"/>
        </w:rPr>
        <w:fldChar w:fldCharType="begin"/>
      </w:r>
      <w:r>
        <w:rPr>
          <w:rFonts w:hint="default" w:ascii="Times New Roman" w:hAnsi="Times New Roman" w:cs="Times New Roman"/>
        </w:rPr>
        <w:instrText xml:space="preserve"> HYPERLINK "http://lib.shilinx.com/wiki/index.php?title=%E5%88%86%E7%B1%BB:%E5%8F%A3%E6%9C%8D%E5%9B%BA%E4%BD%93%E5%88%B6%E5%89%82" \o "分类:口服固体制剂" </w:instrText>
      </w:r>
      <w:r>
        <w:rPr>
          <w:rFonts w:hint="default" w:ascii="Times New Roman" w:hAnsi="Times New Roman" w:cs="Times New Roman"/>
        </w:rPr>
        <w:fldChar w:fldCharType="separate"/>
      </w:r>
      <w:r>
        <w:rPr>
          <w:rFonts w:hint="default" w:ascii="Times New Roman" w:hAnsi="Times New Roman" w:eastAsia="仿宋_GB2312" w:cs="Times New Roman"/>
          <w:kern w:val="0"/>
          <w:sz w:val="28"/>
          <w:szCs w:val="28"/>
        </w:rPr>
        <w:t>口服固体制剂</w:t>
      </w:r>
      <w:r>
        <w:rPr>
          <w:rFonts w:hint="default" w:ascii="Times New Roman" w:hAnsi="Times New Roman" w:eastAsia="仿宋_GB2312" w:cs="Times New Roman"/>
          <w:kern w:val="0"/>
          <w:sz w:val="28"/>
          <w:szCs w:val="28"/>
        </w:rPr>
        <w:fldChar w:fldCharType="end"/>
      </w:r>
      <w:r>
        <w:rPr>
          <w:rFonts w:hint="default" w:ascii="Times New Roman" w:hAnsi="Times New Roman" w:eastAsia="仿宋_GB2312" w:cs="Times New Roman"/>
          <w:kern w:val="0"/>
          <w:sz w:val="28"/>
          <w:szCs w:val="28"/>
        </w:rPr>
        <w:t>由</w:t>
      </w:r>
      <w:r>
        <w:rPr>
          <w:rFonts w:hint="default" w:ascii="Times New Roman" w:hAnsi="Times New Roman" w:cs="Times New Roman"/>
        </w:rPr>
        <w:fldChar w:fldCharType="begin"/>
      </w:r>
      <w:r>
        <w:rPr>
          <w:rFonts w:hint="default" w:ascii="Times New Roman" w:hAnsi="Times New Roman" w:cs="Times New Roman"/>
        </w:rPr>
        <w:instrText xml:space="preserve"> HYPERLINK "http://lib.shilinx.com/wiki/index.php?title=%E5%88%86%E7%B1%BB:%E6%B9%BF%E6%B3%95%E5%88%B6%E7%B2%92" \o "分类:湿法制粒" </w:instrText>
      </w:r>
      <w:r>
        <w:rPr>
          <w:rFonts w:hint="default" w:ascii="Times New Roman" w:hAnsi="Times New Roman" w:cs="Times New Roman"/>
        </w:rPr>
        <w:fldChar w:fldCharType="separate"/>
      </w:r>
      <w:r>
        <w:rPr>
          <w:rFonts w:hint="default" w:ascii="Times New Roman" w:hAnsi="Times New Roman" w:eastAsia="仿宋_GB2312" w:cs="Times New Roman"/>
          <w:kern w:val="0"/>
          <w:sz w:val="28"/>
          <w:szCs w:val="28"/>
        </w:rPr>
        <w:t>湿法制粒</w:t>
      </w:r>
      <w:r>
        <w:rPr>
          <w:rFonts w:hint="default" w:ascii="Times New Roman" w:hAnsi="Times New Roman" w:eastAsia="仿宋_GB2312" w:cs="Times New Roman"/>
          <w:kern w:val="0"/>
          <w:sz w:val="28"/>
          <w:szCs w:val="28"/>
        </w:rPr>
        <w:fldChar w:fldCharType="end"/>
      </w:r>
      <w:r>
        <w:rPr>
          <w:rFonts w:hint="default" w:ascii="Times New Roman" w:hAnsi="Times New Roman" w:eastAsia="仿宋_GB2312" w:cs="Times New Roman"/>
          <w:kern w:val="0"/>
          <w:sz w:val="28"/>
          <w:szCs w:val="28"/>
        </w:rPr>
        <w:t>改变为</w:t>
      </w:r>
      <w:r>
        <w:rPr>
          <w:rFonts w:hint="default" w:ascii="Times New Roman" w:hAnsi="Times New Roman" w:cs="Times New Roman"/>
        </w:rPr>
        <w:fldChar w:fldCharType="begin"/>
      </w:r>
      <w:r>
        <w:rPr>
          <w:rFonts w:hint="default" w:ascii="Times New Roman" w:hAnsi="Times New Roman" w:cs="Times New Roman"/>
        </w:rPr>
        <w:instrText xml:space="preserve"> HYPERLINK "http://lib.shilinx.com/wiki/index.php?title=%E5%88%86%E7%B1%BB:%E5%B9%B2%E6%B3%95%E5%88%B6%E7%B2%92" \o "分类:干法制粒" </w:instrText>
      </w:r>
      <w:r>
        <w:rPr>
          <w:rFonts w:hint="default" w:ascii="Times New Roman" w:hAnsi="Times New Roman" w:cs="Times New Roman"/>
        </w:rPr>
        <w:fldChar w:fldCharType="separate"/>
      </w:r>
      <w:r>
        <w:rPr>
          <w:rFonts w:hint="default" w:ascii="Times New Roman" w:hAnsi="Times New Roman" w:eastAsia="仿宋_GB2312" w:cs="Times New Roman"/>
          <w:kern w:val="0"/>
          <w:sz w:val="28"/>
          <w:szCs w:val="28"/>
        </w:rPr>
        <w:t>干法制粒</w:t>
      </w:r>
      <w:r>
        <w:rPr>
          <w:rFonts w:hint="default" w:ascii="Times New Roman" w:hAnsi="Times New Roman" w:eastAsia="仿宋_GB2312" w:cs="Times New Roman"/>
          <w:kern w:val="0"/>
          <w:sz w:val="28"/>
          <w:szCs w:val="28"/>
        </w:rPr>
        <w:fldChar w:fldCharType="end"/>
      </w:r>
      <w:r>
        <w:rPr>
          <w:rFonts w:hint="default" w:ascii="Times New Roman" w:hAnsi="Times New Roman" w:eastAsia="仿宋_GB2312" w:cs="Times New Roman"/>
          <w:kern w:val="0"/>
          <w:sz w:val="28"/>
          <w:szCs w:val="28"/>
        </w:rPr>
        <w:t>，或相反变更；如生产过程干燥方法从烘箱干燥变为</w:t>
      </w:r>
      <w:r>
        <w:rPr>
          <w:rFonts w:hint="default" w:ascii="Times New Roman" w:hAnsi="Times New Roman" w:cs="Times New Roman"/>
        </w:rPr>
        <w:fldChar w:fldCharType="begin"/>
      </w:r>
      <w:r>
        <w:rPr>
          <w:rFonts w:hint="default" w:ascii="Times New Roman" w:hAnsi="Times New Roman" w:cs="Times New Roman"/>
        </w:rPr>
        <w:instrText xml:space="preserve"> HYPERLINK "http://lib.shilinx.com/wiki/index.php?title=%E5%88%86%E7%B1%BB:%E6%B5%81%E5%8C%96%E5%BA%8A" \o "分类:流化床" </w:instrText>
      </w:r>
      <w:r>
        <w:rPr>
          <w:rFonts w:hint="default" w:ascii="Times New Roman" w:hAnsi="Times New Roman" w:cs="Times New Roman"/>
        </w:rPr>
        <w:fldChar w:fldCharType="separate"/>
      </w:r>
      <w:r>
        <w:rPr>
          <w:rFonts w:hint="default" w:ascii="Times New Roman" w:hAnsi="Times New Roman" w:eastAsia="仿宋_GB2312" w:cs="Times New Roman"/>
          <w:kern w:val="0"/>
          <w:sz w:val="28"/>
          <w:szCs w:val="28"/>
        </w:rPr>
        <w:t>流化床</w:t>
      </w:r>
      <w:r>
        <w:rPr>
          <w:rFonts w:hint="default" w:ascii="Times New Roman" w:hAnsi="Times New Roman" w:eastAsia="仿宋_GB2312" w:cs="Times New Roman"/>
          <w:kern w:val="0"/>
          <w:sz w:val="28"/>
          <w:szCs w:val="28"/>
        </w:rPr>
        <w:fldChar w:fldCharType="end"/>
      </w:r>
      <w:r>
        <w:rPr>
          <w:rFonts w:hint="default" w:ascii="Times New Roman" w:hAnsi="Times New Roman" w:eastAsia="仿宋_GB2312" w:cs="Times New Roman"/>
          <w:kern w:val="0"/>
          <w:sz w:val="28"/>
          <w:szCs w:val="28"/>
        </w:rPr>
        <w:t>干燥或相反变更等。</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可能影响制剂关键质量属性的工艺参数变更。例如：缓控释/肠溶薄膜包衣工艺参数的变更，无菌制剂冻干曲线的变更，非无菌半固体制剂均质时间、均质温度、冷却速度等工艺参数的变更，非无菌半固体制剂水相与油相混合过程的变更等。</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（3）</w:t>
      </w:r>
      <w:r>
        <w:rPr>
          <w:rFonts w:hint="default" w:ascii="Times New Roman" w:hAnsi="Times New Roman" w:eastAsia="仿宋_GB2312" w:cs="Times New Roman"/>
          <w:sz w:val="28"/>
          <w:szCs w:val="28"/>
        </w:rPr>
        <w:t>放宽或删除已批准的过程控制限度，可能对制剂的质量产生重大影响。</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（4）缓控释制剂的形状、尺寸和印记的变更。</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（5）增加片剂的功能性刻痕。</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（6）制剂生产过程中用于单元操作的溶剂种类变更。例如，制粒溶剂由水改为乙醇。</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对于普通口服固体制剂包衣液中的有机溶剂改为水的情形，则属于中等变更。</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（7）缓控释制剂生产中采用设计和工作原理不同的设备替代另一种设备。</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（8）无菌制剂生产过程变更可能影响药品无菌保证水平的情形：</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①变更产品</w:t>
      </w:r>
      <w:r>
        <w:rPr>
          <w:rFonts w:hint="default" w:ascii="Times New Roman" w:hAnsi="Times New Roman" w:cs="Times New Roman"/>
        </w:rPr>
        <w:fldChar w:fldCharType="begin"/>
      </w:r>
      <w:r>
        <w:rPr>
          <w:rFonts w:hint="default" w:ascii="Times New Roman" w:hAnsi="Times New Roman" w:cs="Times New Roman"/>
        </w:rPr>
        <w:instrText xml:space="preserve"> HYPERLINK "http://lib.shilinx.com/wiki/index.php?title=%E5%88%86%E7%B1%BB:%E7%81%AD%E8%8F%8C" \o "分类:灭菌" </w:instrText>
      </w:r>
      <w:r>
        <w:rPr>
          <w:rFonts w:hint="default" w:ascii="Times New Roman" w:hAnsi="Times New Roman" w:cs="Times New Roman"/>
        </w:rPr>
        <w:fldChar w:fldCharType="separate"/>
      </w:r>
      <w:r>
        <w:rPr>
          <w:rFonts w:hint="default" w:ascii="Times New Roman" w:hAnsi="Times New Roman" w:eastAsia="仿宋_GB2312" w:cs="Times New Roman"/>
          <w:kern w:val="0"/>
          <w:sz w:val="28"/>
          <w:szCs w:val="28"/>
        </w:rPr>
        <w:t>灭菌</w:t>
      </w:r>
      <w:r>
        <w:rPr>
          <w:rFonts w:hint="default" w:ascii="Times New Roman" w:hAnsi="Times New Roman" w:eastAsia="仿宋_GB2312" w:cs="Times New Roman"/>
          <w:kern w:val="0"/>
          <w:sz w:val="28"/>
          <w:szCs w:val="28"/>
        </w:rPr>
        <w:fldChar w:fldCharType="end"/>
      </w:r>
      <w:r>
        <w:rPr>
          <w:rFonts w:hint="default" w:ascii="Times New Roman" w:hAnsi="Times New Roman" w:eastAsia="仿宋_GB2312" w:cs="Times New Roman"/>
          <w:kern w:val="0"/>
          <w:sz w:val="28"/>
          <w:szCs w:val="28"/>
        </w:rPr>
        <w:t>工艺，由除菌过滤灭菌工艺变更为终端灭菌工艺或者相反的变更；终端灭菌工艺由</w:t>
      </w:r>
      <w:r>
        <w:rPr>
          <w:rFonts w:hint="default" w:ascii="Times New Roman" w:hAnsi="Times New Roman" w:cs="Times New Roman"/>
        </w:rPr>
        <w:fldChar w:fldCharType="begin"/>
      </w:r>
      <w:r>
        <w:rPr>
          <w:rFonts w:hint="default" w:ascii="Times New Roman" w:hAnsi="Times New Roman" w:cs="Times New Roman"/>
        </w:rPr>
        <w:instrText xml:space="preserve"> HYPERLINK "http://lib.shilinx.com/wiki/index.php?title=%E5%88%86%E7%B1%BB:%E6%AE%8B%E5%AD%98%E6%A6%82%E7%8E%87%E6%B3%95" \o "分类:残存概率法" </w:instrText>
      </w:r>
      <w:r>
        <w:rPr>
          <w:rFonts w:hint="default" w:ascii="Times New Roman" w:hAnsi="Times New Roman" w:cs="Times New Roman"/>
        </w:rPr>
        <w:fldChar w:fldCharType="separate"/>
      </w:r>
      <w:r>
        <w:rPr>
          <w:rFonts w:hint="default" w:ascii="Times New Roman" w:hAnsi="Times New Roman" w:eastAsia="仿宋_GB2312" w:cs="Times New Roman"/>
          <w:kern w:val="0"/>
          <w:sz w:val="28"/>
          <w:szCs w:val="28"/>
        </w:rPr>
        <w:t>残存概率法</w:t>
      </w:r>
      <w:r>
        <w:rPr>
          <w:rFonts w:hint="default" w:ascii="Times New Roman" w:hAnsi="Times New Roman" w:eastAsia="仿宋_GB2312" w:cs="Times New Roman"/>
          <w:kern w:val="0"/>
          <w:sz w:val="28"/>
          <w:szCs w:val="28"/>
        </w:rPr>
        <w:fldChar w:fldCharType="end"/>
      </w:r>
      <w:r>
        <w:rPr>
          <w:rFonts w:hint="default" w:ascii="Times New Roman" w:hAnsi="Times New Roman" w:eastAsia="仿宋_GB2312" w:cs="Times New Roman"/>
          <w:kern w:val="0"/>
          <w:sz w:val="28"/>
          <w:szCs w:val="28"/>
        </w:rPr>
        <w:t>变更为</w:t>
      </w:r>
      <w:r>
        <w:rPr>
          <w:rFonts w:hint="default" w:ascii="Times New Roman" w:hAnsi="Times New Roman" w:cs="Times New Roman"/>
        </w:rPr>
        <w:fldChar w:fldCharType="begin"/>
      </w:r>
      <w:r>
        <w:rPr>
          <w:rFonts w:hint="default" w:ascii="Times New Roman" w:hAnsi="Times New Roman" w:cs="Times New Roman"/>
        </w:rPr>
        <w:instrText xml:space="preserve"> HYPERLINK "http://lib.shilinx.com/wiki/index.php?title=%E5%88%86%E7%B1%BB:%E8%BF%87%E5%BA%A6%E6%9D%80%E7%81%AD" \o "分类:过度杀灭" </w:instrText>
      </w:r>
      <w:r>
        <w:rPr>
          <w:rFonts w:hint="default" w:ascii="Times New Roman" w:hAnsi="Times New Roman" w:cs="Times New Roman"/>
        </w:rPr>
        <w:fldChar w:fldCharType="separate"/>
      </w:r>
      <w:r>
        <w:rPr>
          <w:rFonts w:hint="default" w:ascii="Times New Roman" w:hAnsi="Times New Roman" w:eastAsia="仿宋_GB2312" w:cs="Times New Roman"/>
          <w:kern w:val="0"/>
          <w:sz w:val="28"/>
          <w:szCs w:val="28"/>
        </w:rPr>
        <w:t>过度杀灭法</w:t>
      </w:r>
      <w:r>
        <w:rPr>
          <w:rFonts w:hint="default" w:ascii="Times New Roman" w:hAnsi="Times New Roman" w:eastAsia="仿宋_GB2312" w:cs="Times New Roman"/>
          <w:kern w:val="0"/>
          <w:sz w:val="28"/>
          <w:szCs w:val="28"/>
        </w:rPr>
        <w:fldChar w:fldCharType="end"/>
      </w:r>
      <w:r>
        <w:rPr>
          <w:rFonts w:hint="default" w:ascii="Times New Roman" w:hAnsi="Times New Roman" w:eastAsia="仿宋_GB2312" w:cs="Times New Roman"/>
          <w:kern w:val="0"/>
          <w:sz w:val="28"/>
          <w:szCs w:val="28"/>
        </w:rPr>
        <w:t>或者相反的变更；从</w:t>
      </w:r>
      <w:r>
        <w:rPr>
          <w:rFonts w:hint="default" w:ascii="Times New Roman" w:hAnsi="Times New Roman" w:cs="Times New Roman"/>
        </w:rPr>
        <w:fldChar w:fldCharType="begin"/>
      </w:r>
      <w:r>
        <w:rPr>
          <w:rFonts w:hint="default" w:ascii="Times New Roman" w:hAnsi="Times New Roman" w:cs="Times New Roman"/>
        </w:rPr>
        <w:instrText xml:space="preserve"> HYPERLINK "http://lib.shilinx.com/wiki/index.php?title=%E5%88%86%E7%B1%BB:%E5%B9%B2%E7%83%AD%E7%81%AD%E8%8F%8C" \o "分类:干热灭菌" </w:instrText>
      </w:r>
      <w:r>
        <w:rPr>
          <w:rFonts w:hint="default" w:ascii="Times New Roman" w:hAnsi="Times New Roman" w:cs="Times New Roman"/>
        </w:rPr>
        <w:fldChar w:fldCharType="separate"/>
      </w:r>
      <w:r>
        <w:rPr>
          <w:rFonts w:hint="default" w:ascii="Times New Roman" w:hAnsi="Times New Roman" w:eastAsia="仿宋_GB2312" w:cs="Times New Roman"/>
          <w:kern w:val="0"/>
          <w:sz w:val="28"/>
          <w:szCs w:val="28"/>
        </w:rPr>
        <w:t>干热灭菌</w:t>
      </w:r>
      <w:r>
        <w:rPr>
          <w:rFonts w:hint="default" w:ascii="Times New Roman" w:hAnsi="Times New Roman" w:eastAsia="仿宋_GB2312" w:cs="Times New Roman"/>
          <w:kern w:val="0"/>
          <w:sz w:val="28"/>
          <w:szCs w:val="28"/>
        </w:rPr>
        <w:fldChar w:fldCharType="end"/>
      </w:r>
      <w:r>
        <w:rPr>
          <w:rFonts w:hint="default" w:ascii="Times New Roman" w:hAnsi="Times New Roman" w:eastAsia="仿宋_GB2312" w:cs="Times New Roman"/>
          <w:kern w:val="0"/>
          <w:sz w:val="28"/>
          <w:szCs w:val="28"/>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"http://lib.shilinx.com/wiki/index.php?title=%E5%88%86%E7%B1%BB:%E8%BE%90%E5%B0%84%E7%81%AD%E8%8F%8C" \o "分类:辐射灭菌" </w:instrText>
      </w:r>
      <w:r>
        <w:rPr>
          <w:rFonts w:hint="default" w:ascii="Times New Roman" w:hAnsi="Times New Roman" w:cs="Times New Roman"/>
        </w:rPr>
        <w:fldChar w:fldCharType="separate"/>
      </w:r>
      <w:r>
        <w:rPr>
          <w:rFonts w:hint="default" w:ascii="Times New Roman" w:hAnsi="Times New Roman" w:eastAsia="仿宋_GB2312" w:cs="Times New Roman"/>
          <w:kern w:val="0"/>
          <w:sz w:val="28"/>
          <w:szCs w:val="28"/>
        </w:rPr>
        <w:t>辐射灭菌</w:t>
      </w:r>
      <w:r>
        <w:rPr>
          <w:rFonts w:hint="default" w:ascii="Times New Roman" w:hAnsi="Times New Roman" w:eastAsia="仿宋_GB2312" w:cs="Times New Roman"/>
          <w:kern w:val="0"/>
          <w:sz w:val="28"/>
          <w:szCs w:val="28"/>
        </w:rPr>
        <w:fldChar w:fldCharType="end"/>
      </w:r>
      <w:r>
        <w:rPr>
          <w:rFonts w:hint="default" w:ascii="Times New Roman" w:hAnsi="Times New Roman" w:eastAsia="仿宋_GB2312" w:cs="Times New Roman"/>
          <w:kern w:val="0"/>
          <w:sz w:val="28"/>
          <w:szCs w:val="28"/>
        </w:rPr>
        <w:t>中的一种</w:t>
      </w:r>
      <w:r>
        <w:rPr>
          <w:rFonts w:hint="default" w:ascii="Times New Roman" w:hAnsi="Times New Roman" w:cs="Times New Roman"/>
        </w:rPr>
        <w:fldChar w:fldCharType="begin"/>
      </w:r>
      <w:r>
        <w:rPr>
          <w:rFonts w:hint="default" w:ascii="Times New Roman" w:hAnsi="Times New Roman" w:cs="Times New Roman"/>
        </w:rPr>
        <w:instrText xml:space="preserve"> HYPERLINK "http://lib.shilinx.com/wiki/index.php?title=%E5%88%86%E7%B1%BB:%E7%81%AD%E8%8F%8C" \o "分类:灭菌" </w:instrText>
      </w:r>
      <w:r>
        <w:rPr>
          <w:rFonts w:hint="default" w:ascii="Times New Roman" w:hAnsi="Times New Roman" w:cs="Times New Roman"/>
        </w:rPr>
        <w:fldChar w:fldCharType="separate"/>
      </w:r>
      <w:r>
        <w:rPr>
          <w:rFonts w:hint="default" w:ascii="Times New Roman" w:hAnsi="Times New Roman" w:eastAsia="仿宋_GB2312" w:cs="Times New Roman"/>
          <w:kern w:val="0"/>
          <w:sz w:val="28"/>
          <w:szCs w:val="28"/>
        </w:rPr>
        <w:t>灭菌</w:t>
      </w:r>
      <w:r>
        <w:rPr>
          <w:rFonts w:hint="default" w:ascii="Times New Roman" w:hAnsi="Times New Roman" w:eastAsia="仿宋_GB2312" w:cs="Times New Roman"/>
          <w:kern w:val="0"/>
          <w:sz w:val="28"/>
          <w:szCs w:val="28"/>
        </w:rPr>
        <w:fldChar w:fldCharType="end"/>
      </w:r>
      <w:r>
        <w:rPr>
          <w:rFonts w:hint="default" w:ascii="Times New Roman" w:hAnsi="Times New Roman" w:cs="Times New Roman"/>
        </w:rPr>
        <w:fldChar w:fldCharType="begin"/>
      </w:r>
      <w:r>
        <w:rPr>
          <w:rFonts w:hint="default" w:ascii="Times New Roman" w:hAnsi="Times New Roman" w:cs="Times New Roman"/>
        </w:rPr>
        <w:instrText xml:space="preserve"> HYPERLINK "http://lib.shilinx.com/wiki/index.php?title=%E5%88%86%E7%B1%BB:%E5%B7%A5%E8%89%BA%E5%8F%98%E6%9B%B4" \o "分类:工艺变更" </w:instrText>
      </w:r>
      <w:r>
        <w:rPr>
          <w:rFonts w:hint="default" w:ascii="Times New Roman" w:hAnsi="Times New Roman" w:cs="Times New Roman"/>
        </w:rPr>
        <w:fldChar w:fldCharType="separate"/>
      </w:r>
      <w:r>
        <w:rPr>
          <w:rFonts w:hint="default" w:ascii="Times New Roman" w:hAnsi="Times New Roman" w:eastAsia="仿宋_GB2312" w:cs="Times New Roman"/>
          <w:kern w:val="0"/>
          <w:sz w:val="28"/>
          <w:szCs w:val="28"/>
        </w:rPr>
        <w:t>工艺变更</w:t>
      </w:r>
      <w:r>
        <w:rPr>
          <w:rFonts w:hint="default" w:ascii="Times New Roman" w:hAnsi="Times New Roman" w:eastAsia="仿宋_GB2312" w:cs="Times New Roman"/>
          <w:kern w:val="0"/>
          <w:sz w:val="28"/>
          <w:szCs w:val="28"/>
        </w:rPr>
        <w:fldChar w:fldCharType="end"/>
      </w:r>
      <w:r>
        <w:rPr>
          <w:rFonts w:hint="default" w:ascii="Times New Roman" w:hAnsi="Times New Roman" w:eastAsia="仿宋_GB2312" w:cs="Times New Roman"/>
          <w:kern w:val="0"/>
          <w:sz w:val="28"/>
          <w:szCs w:val="28"/>
        </w:rPr>
        <w:t>为另一种灭菌工艺等。</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②不同设计和工作原理的灭菌柜替代原灭菌柜。</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③变更灭菌柜的药品装载方式，且超出原验证范围的。</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④无菌生产工艺中使用的</w:t>
      </w:r>
      <w:r>
        <w:rPr>
          <w:rFonts w:hint="default" w:ascii="Times New Roman" w:hAnsi="Times New Roman" w:cs="Times New Roman"/>
        </w:rPr>
        <w:fldChar w:fldCharType="begin"/>
      </w:r>
      <w:r>
        <w:rPr>
          <w:rFonts w:hint="default" w:ascii="Times New Roman" w:hAnsi="Times New Roman" w:cs="Times New Roman"/>
        </w:rPr>
        <w:instrText xml:space="preserve"> HYPERLINK "http://lib.shilinx.com/wiki/index.php?title=%E5%88%86%E7%B1%BB:%E8%BF%87%E6%BB%A4" \o "分类:过滤" </w:instrText>
      </w:r>
      <w:r>
        <w:rPr>
          <w:rFonts w:hint="default" w:ascii="Times New Roman" w:hAnsi="Times New Roman" w:cs="Times New Roman"/>
        </w:rPr>
        <w:fldChar w:fldCharType="separate"/>
      </w:r>
      <w:r>
        <w:rPr>
          <w:rFonts w:hint="default" w:ascii="Times New Roman" w:hAnsi="Times New Roman" w:eastAsia="仿宋_GB2312" w:cs="Times New Roman"/>
          <w:kern w:val="0"/>
          <w:sz w:val="28"/>
          <w:szCs w:val="28"/>
        </w:rPr>
        <w:t>过滤</w:t>
      </w:r>
      <w:r>
        <w:rPr>
          <w:rFonts w:hint="default" w:ascii="Times New Roman" w:hAnsi="Times New Roman" w:eastAsia="仿宋_GB2312" w:cs="Times New Roman"/>
          <w:kern w:val="0"/>
          <w:sz w:val="28"/>
          <w:szCs w:val="28"/>
        </w:rPr>
        <w:fldChar w:fldCharType="end"/>
      </w:r>
      <w:r>
        <w:rPr>
          <w:rFonts w:hint="default" w:ascii="Times New Roman" w:hAnsi="Times New Roman" w:eastAsia="仿宋_GB2312" w:cs="Times New Roman"/>
          <w:kern w:val="0"/>
          <w:sz w:val="28"/>
          <w:szCs w:val="28"/>
        </w:rPr>
        <w:t>器材料或孔径的变更。</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⑤无菌生产工艺中，无菌处理操作步骤的增加、减少或替代。</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⑥无菌工艺生产线增加由不同材料（如不锈钢与玻璃、或不同塑料之间的变更）制造、且与无菌溶液或药物成分直接接触的新设备，或者减少无菌工艺生产线的设备。</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2、研究验证工作</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（1）说明变更的具体情况和原因，对变更后工艺进行研究和验证。对于无菌制剂，还需进行无菌/灭菌工艺验证。</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（2）提供变更后一批样品的批生产记录。</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（3）对变更后连续生产的三批样品进行检验。</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（4）</w:t>
      </w:r>
      <w:r>
        <w:rPr>
          <w:rFonts w:hint="default" w:ascii="Times New Roman" w:hAnsi="Times New Roman" w:eastAsia="仿宋_GB2312" w:cs="Times New Roman"/>
          <w:sz w:val="28"/>
          <w:szCs w:val="28"/>
        </w:rPr>
        <w:t>根据变更的具体情况、制剂特点及药物性质，选择适当的项目对变更前后药品进行比较研究，重点比较变更前后药物的释放行为，或与体内吸收和疗效有关的重要理化性质和指标，杂质状况等</w:t>
      </w:r>
      <w:r>
        <w:rPr>
          <w:rFonts w:hint="default" w:ascii="Times New Roman" w:hAnsi="Times New Roman" w:eastAsia="仿宋_GB2312" w:cs="Times New Roman"/>
          <w:kern w:val="0"/>
          <w:sz w:val="28"/>
          <w:szCs w:val="28"/>
        </w:rPr>
        <w:t>。</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kern w:val="0"/>
          <w:sz w:val="28"/>
          <w:szCs w:val="28"/>
        </w:rPr>
        <w:t>（5）</w:t>
      </w:r>
      <w:r>
        <w:rPr>
          <w:rFonts w:hint="default" w:ascii="Times New Roman" w:hAnsi="Times New Roman" w:eastAsia="仿宋_GB2312" w:cs="Times New Roman"/>
          <w:sz w:val="28"/>
          <w:szCs w:val="28"/>
        </w:rPr>
        <w:t xml:space="preserve">对变更后三批样品进行加速及长期稳定性考察，申请时提供3～6个月的稳定性研究资料，并与变更前产品的稳定性情况进行比较。 </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kern w:val="0"/>
          <w:sz w:val="28"/>
          <w:szCs w:val="28"/>
        </w:rPr>
        <w:t>（6）必要时需考虑</w:t>
      </w:r>
      <w:r>
        <w:rPr>
          <w:rFonts w:hint="default" w:ascii="Times New Roman" w:hAnsi="Times New Roman" w:eastAsia="仿宋_GB2312" w:cs="Times New Roman"/>
          <w:sz w:val="28"/>
          <w:szCs w:val="28"/>
        </w:rPr>
        <w:t>进行体内生物等效性研究。如申请免除生物等效性研究，需进行充分的研究和分析。</w:t>
      </w:r>
    </w:p>
    <w:p>
      <w:pPr>
        <w:keepNext w:val="0"/>
        <w:keepLines w:val="0"/>
        <w:pageBreakBefore w:val="0"/>
        <w:widowControl w:val="0"/>
        <w:kinsoku/>
        <w:wordWrap/>
        <w:overflowPunct w:val="0"/>
        <w:topLinePunct w:val="0"/>
        <w:bidi w:val="0"/>
        <w:spacing w:line="360" w:lineRule="auto"/>
        <w:ind w:firstLine="562" w:firstLineChars="200"/>
        <w:outlineLvl w:val="0"/>
        <w:rPr>
          <w:rFonts w:hint="default" w:ascii="Times New Roman" w:hAnsi="Times New Roman" w:eastAsia="仿宋_GB2312" w:cs="Times New Roman"/>
          <w:b/>
          <w:sz w:val="28"/>
          <w:szCs w:val="28"/>
        </w:rPr>
      </w:pPr>
      <w:bookmarkStart w:id="7" w:name="_Toc37574307"/>
      <w:bookmarkStart w:id="8" w:name="_Toc24040095"/>
      <w:r>
        <w:rPr>
          <w:rFonts w:hint="default" w:ascii="Times New Roman" w:hAnsi="Times New Roman" w:eastAsia="仿宋_GB2312" w:cs="Times New Roman"/>
          <w:b/>
          <w:sz w:val="28"/>
          <w:szCs w:val="28"/>
        </w:rPr>
        <w:t>六、变更制剂所用原料药的供应商</w:t>
      </w:r>
      <w:bookmarkEnd w:id="7"/>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总体上，新产地原料药的质量不得低于原使用的原料药，变更或增加药品制剂所用原料药的产地不应对药品安全性、有效性和质量可控性产生负面影响。</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不同企业生产的原料药合成工艺和路线很难一致；即使采用相同的合成工艺，其所用起始原料、中间体、反应试剂、溶剂、生产设备、工艺参数等也很难保持完全一致。因此，变更制剂所用原料药的供应商可能对制剂产生一定的影响，一般需要进行比较全面的研究验证工作。故变更制剂所用原料药供应商一般归入中等变更和重大变更。</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（一）中等变更</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1．变更情况</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此类变更中原料药的物理特性和杂质状况等需保持一致，且对制剂质量无影响。</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2．研究验证情况</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（1）说明变更的具体情况和原因。</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（2）提供变更前后原料药的质量标准。</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对变更前后的原料药进行全面的质量对比研究，研究所采用的方法需经过验证，重点比较变更前后原料药的杂质状况、原料药与制剂体内吸收和疗效有关的指标（如晶型、粒度分布、分子量分布、粘度等）等保持一致。</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（4）对采用变更前和变更后原料药制备的制剂进行质量对比研究，重点证明变更前后样品的溶出/释放行为、或与体内吸收和疗效有关的重要理化性质和指标、杂质状况等保持一致。</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（5）对采用变更后原料药连续生产的三批制剂进行检验。</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（6）对采用变更后原料药生产的一批制剂进行加速及长期稳定性考察，申请时提供不少于3个月的稳定性研究资料，并与变更前产品的稳定性情况进行比较。 </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（二）重大变更</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1、变更情况</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除中等变更外的其他变更情形均属于重大变更。</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2、研究验证情况</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（1）说明变更的具体情况和原因。</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（2）提供变更前后原料药的质量标准。</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对变更前后的原料药进行全面的质量对比研究，研究所采用的方法需经过验证，重点比较变更前后原料药的杂质状况、原料药与制剂体内吸收和疗效有关的指标（如晶型、粒度分布、分子量分布、粘度等）。</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（4）对采用变更前和变更后原料药制备的制剂进行质量对比研究，重点比较变更前后样品的溶出/释放行为、或与体内吸收和疗效有关的重要理化性质和指标、杂质状况等。</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（5）对采用变更后原料药连续生产的三批制剂进行检验。</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（6）对采用变更后原料药生产的三批制剂进行加速及长期稳定性考察，申请时提供不少于3个月的稳定性研究资料，并与变更前产品的稳定性情况进行比较。 </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rPr>
      </w:pPr>
      <w:r>
        <w:rPr>
          <w:rFonts w:hint="default" w:ascii="Times New Roman" w:hAnsi="Times New Roman" w:eastAsia="仿宋_GB2312" w:cs="Times New Roman"/>
          <w:sz w:val="28"/>
          <w:szCs w:val="28"/>
        </w:rPr>
        <w:t>（7）必要时需考虑进行体内生物等效性研究。</w:t>
      </w:r>
    </w:p>
    <w:p>
      <w:pPr>
        <w:keepNext w:val="0"/>
        <w:keepLines w:val="0"/>
        <w:pageBreakBefore w:val="0"/>
        <w:widowControl w:val="0"/>
        <w:kinsoku/>
        <w:wordWrap/>
        <w:overflowPunct w:val="0"/>
        <w:topLinePunct w:val="0"/>
        <w:bidi w:val="0"/>
        <w:spacing w:line="360" w:lineRule="auto"/>
        <w:ind w:firstLine="562" w:firstLineChars="200"/>
        <w:outlineLvl w:val="0"/>
        <w:rPr>
          <w:rFonts w:hint="default" w:ascii="Times New Roman" w:hAnsi="Times New Roman" w:eastAsia="仿宋_GB2312" w:cs="Times New Roman"/>
          <w:b/>
          <w:sz w:val="28"/>
          <w:szCs w:val="28"/>
        </w:rPr>
      </w:pPr>
      <w:bookmarkStart w:id="9" w:name="_Toc37574308"/>
      <w:r>
        <w:rPr>
          <w:rFonts w:hint="default" w:ascii="Times New Roman" w:hAnsi="Times New Roman" w:eastAsia="仿宋_GB2312" w:cs="Times New Roman"/>
          <w:b/>
          <w:sz w:val="28"/>
          <w:szCs w:val="28"/>
        </w:rPr>
        <w:t>七、变更生产批量</w:t>
      </w:r>
      <w:bookmarkEnd w:id="8"/>
      <w:bookmarkEnd w:id="9"/>
    </w:p>
    <w:p>
      <w:pPr>
        <w:keepNext w:val="0"/>
        <w:keepLines w:val="0"/>
        <w:pageBreakBefore w:val="0"/>
        <w:widowControl w:val="0"/>
        <w:kinsoku/>
        <w:wordWrap/>
        <w:overflowPunct w:val="0"/>
        <w:topLinePunct w:val="0"/>
        <w:autoSpaceDE w:val="0"/>
        <w:autoSpaceDN w:val="0"/>
        <w:bidi w:val="0"/>
        <w:spacing w:line="360" w:lineRule="auto"/>
        <w:ind w:firstLine="561"/>
        <w:rPr>
          <w:rFonts w:hint="default" w:ascii="Times New Roman" w:hAnsi="Times New Roman" w:eastAsia="仿宋_GB2312" w:cs="Times New Roman"/>
          <w:sz w:val="28"/>
        </w:rPr>
      </w:pPr>
      <w:r>
        <w:rPr>
          <w:rFonts w:hint="default" w:ascii="Times New Roman" w:hAnsi="Times New Roman" w:eastAsia="仿宋_GB2312" w:cs="Times New Roman"/>
          <w:kern w:val="0"/>
          <w:sz w:val="28"/>
          <w:szCs w:val="28"/>
        </w:rPr>
        <w:t>批量变更如伴随其他变更如设备变更、工艺参数的变更，应进行关联变更，</w:t>
      </w:r>
      <w:r>
        <w:rPr>
          <w:rFonts w:hint="default" w:ascii="Times New Roman" w:hAnsi="Times New Roman" w:eastAsia="仿宋_GB2312" w:cs="Times New Roman"/>
          <w:sz w:val="28"/>
          <w:szCs w:val="28"/>
        </w:rPr>
        <w:t>按照技术要求较高的变更类别</w:t>
      </w:r>
      <w:r>
        <w:rPr>
          <w:rFonts w:hint="default" w:ascii="Times New Roman" w:hAnsi="Times New Roman" w:eastAsia="仿宋_GB2312" w:cs="Times New Roman"/>
          <w:sz w:val="28"/>
        </w:rPr>
        <w:t>进行。</w:t>
      </w:r>
    </w:p>
    <w:p>
      <w:pPr>
        <w:keepNext w:val="0"/>
        <w:keepLines w:val="0"/>
        <w:pageBreakBefore w:val="0"/>
        <w:widowControl w:val="0"/>
        <w:kinsoku/>
        <w:wordWrap/>
        <w:overflowPunct w:val="0"/>
        <w:topLinePunct w:val="0"/>
        <w:autoSpaceDE w:val="0"/>
        <w:autoSpaceDN w:val="0"/>
        <w:bidi w:val="0"/>
        <w:spacing w:line="360" w:lineRule="auto"/>
        <w:ind w:firstLine="561"/>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（一）原料药批量的变更</w:t>
      </w:r>
    </w:p>
    <w:p>
      <w:pPr>
        <w:keepNext w:val="0"/>
        <w:keepLines w:val="0"/>
        <w:pageBreakBefore w:val="0"/>
        <w:widowControl w:val="0"/>
        <w:kinsoku/>
        <w:wordWrap/>
        <w:overflowPunct w:val="0"/>
        <w:topLinePunct w:val="0"/>
        <w:autoSpaceDE w:val="0"/>
        <w:autoSpaceDN w:val="0"/>
        <w:bidi w:val="0"/>
        <w:spacing w:line="360" w:lineRule="auto"/>
        <w:ind w:firstLine="56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1、中等变更</w:t>
      </w:r>
    </w:p>
    <w:p>
      <w:pPr>
        <w:keepNext w:val="0"/>
        <w:keepLines w:val="0"/>
        <w:pageBreakBefore w:val="0"/>
        <w:widowControl w:val="0"/>
        <w:kinsoku/>
        <w:wordWrap/>
        <w:overflowPunct w:val="0"/>
        <w:topLinePunct w:val="0"/>
        <w:autoSpaceDE w:val="0"/>
        <w:autoSpaceDN w:val="0"/>
        <w:bidi w:val="0"/>
        <w:spacing w:line="360" w:lineRule="auto"/>
        <w:ind w:firstLine="56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1.1、变更情况</w:t>
      </w:r>
    </w:p>
    <w:p>
      <w:pPr>
        <w:keepNext w:val="0"/>
        <w:keepLines w:val="0"/>
        <w:pageBreakBefore w:val="0"/>
        <w:widowControl w:val="0"/>
        <w:kinsoku/>
        <w:wordWrap/>
        <w:overflowPunct w:val="0"/>
        <w:topLinePunct w:val="0"/>
        <w:autoSpaceDE w:val="0"/>
        <w:autoSpaceDN w:val="0"/>
        <w:bidi w:val="0"/>
        <w:spacing w:line="360" w:lineRule="auto"/>
        <w:ind w:firstLine="561"/>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非无菌原料药的生产批量变更在原批准批量的10倍以内（包括10倍）。</w:t>
      </w:r>
    </w:p>
    <w:p>
      <w:pPr>
        <w:keepNext w:val="0"/>
        <w:keepLines w:val="0"/>
        <w:pageBreakBefore w:val="0"/>
        <w:widowControl w:val="0"/>
        <w:kinsoku/>
        <w:wordWrap/>
        <w:overflowPunct w:val="0"/>
        <w:topLinePunct w:val="0"/>
        <w:autoSpaceDE w:val="0"/>
        <w:autoSpaceDN w:val="0"/>
        <w:bidi w:val="0"/>
        <w:spacing w:line="360" w:lineRule="auto"/>
        <w:ind w:firstLine="56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1.2、研究验证工作</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（1）说明批量变更的具体情况和原因，对变更前后的生产工艺及生产设备的设计和工作原理进行对比分析，对变更后的批量进行验证。</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（2）对变更后连续生产的三批样品进行检验。</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（3）提供变更后一批样品的批生产记录。</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（4）对变更前后产品进行比较研究，重点证明变更前后杂质状况和物理特性保持一致。</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（5）在年报中报告首批样品的长期稳定性试验数据。</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2、重大变更</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2.1、变更情况</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（1）非无菌原料药的生产批量变更在原批准批量的10倍以上。</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（2）无菌原料药的生产批量变更。</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2.2、研究验证工作</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（1）说明批量变更的具体情况和原因，对变更前后的生产工艺及生产设备的设计和工作原理进行对比分析，对变更后的批量进行生产工艺验证和/或无菌验证。</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（2）对变更后连续生产的三批样品进行检验。</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（3）提供变更后一批样品的批生产记录。</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（4）对变更前后产品进行比较研究，重点证明变更前后杂质状况和物理特性保持一致。</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kern w:val="0"/>
          <w:sz w:val="28"/>
          <w:szCs w:val="28"/>
        </w:rPr>
        <w:t>（5）</w:t>
      </w:r>
      <w:r>
        <w:rPr>
          <w:rFonts w:hint="default" w:ascii="Times New Roman" w:hAnsi="Times New Roman" w:eastAsia="仿宋_GB2312" w:cs="Times New Roman"/>
          <w:sz w:val="28"/>
          <w:szCs w:val="28"/>
        </w:rPr>
        <w:t xml:space="preserve">对变更后一批样品进行加速及长期稳定性考察，申请时提供不少于3个月的稳定性研究资料，并与变更前产品的稳定性情况进行比较。 </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（二）制剂批量的变更</w:t>
      </w:r>
    </w:p>
    <w:p>
      <w:pPr>
        <w:keepNext w:val="0"/>
        <w:keepLines w:val="0"/>
        <w:pageBreakBefore w:val="0"/>
        <w:widowControl w:val="0"/>
        <w:kinsoku/>
        <w:wordWrap/>
        <w:overflowPunct w:val="0"/>
        <w:topLinePunct w:val="0"/>
        <w:autoSpaceDE w:val="0"/>
        <w:autoSpaceDN w:val="0"/>
        <w:bidi w:val="0"/>
        <w:spacing w:line="360" w:lineRule="auto"/>
        <w:ind w:firstLine="561"/>
        <w:rPr>
          <w:rFonts w:hint="default" w:ascii="Times New Roman" w:hAnsi="Times New Roman" w:eastAsia="仿宋_GB2312" w:cs="Times New Roman"/>
          <w:sz w:val="28"/>
        </w:rPr>
      </w:pPr>
      <w:r>
        <w:rPr>
          <w:rFonts w:hint="default" w:ascii="Times New Roman" w:hAnsi="Times New Roman" w:eastAsia="仿宋_GB2312" w:cs="Times New Roman"/>
          <w:kern w:val="0"/>
          <w:sz w:val="28"/>
          <w:szCs w:val="28"/>
        </w:rPr>
        <w:t>如同时符合以下所述的几种变更情形，应</w:t>
      </w:r>
      <w:r>
        <w:rPr>
          <w:rFonts w:hint="default" w:ascii="Times New Roman" w:hAnsi="Times New Roman" w:eastAsia="仿宋_GB2312" w:cs="Times New Roman"/>
          <w:sz w:val="28"/>
          <w:szCs w:val="28"/>
        </w:rPr>
        <w:t>按照技术要求较高的变更类别</w:t>
      </w:r>
      <w:r>
        <w:rPr>
          <w:rFonts w:hint="default" w:ascii="Times New Roman" w:hAnsi="Times New Roman" w:eastAsia="仿宋_GB2312" w:cs="Times New Roman"/>
          <w:sz w:val="28"/>
        </w:rPr>
        <w:t>进行。</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1、中等变更</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1.1、变更情况</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此类变更包括但不限于以下情形：</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（1）普通口服固体制剂和半固体制剂的生产批量变更在关键临床试验批或BE批批量的10倍以内（包括10倍）。</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（2）非无菌液体制剂的生产批量变更。</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（3）微生物负荷水平不变的前提下，采用终端灭菌工艺的制剂的批量变更。</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（4）采用无菌生产工艺的注射剂、滴眼剂，生产时间（包括配液、药液存放、过滤、灌装等与无菌保障水平相关的步骤）的增加不超过原批准时限的50%。</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1.2、研究验证工作</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（1）说明批量变更的具体情况和变更的原因，对变更前后的生产工艺及生产设备的设计和工作原理进行对比分析，对变更后的批量进行验证。</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（2）提供变更后一批样品的批生产记录。</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（3）对变更后连续生产的三批样品进行检验。</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（4）进行变更前后样品进行对比研究，重点证明变更前后药物溶出/释放行为、或与体内吸收和疗效有关的重要理化性质和指标、杂质状况等保持一致。</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（5）在年报中报告首批样品的长期稳定性试验数据。</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2、重大变更</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2.1、变更情况</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此类变更包括但不限于以下情形：</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（1）普通口服固体制剂或半固体制剂的生产批量变更在关键临床试验批或BE批批量的10倍以上。</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kern w:val="0"/>
          <w:sz w:val="28"/>
          <w:szCs w:val="28"/>
        </w:rPr>
        <w:t>（2）</w:t>
      </w:r>
      <w:r>
        <w:rPr>
          <w:rFonts w:hint="default" w:ascii="Times New Roman" w:hAnsi="Times New Roman" w:eastAsia="仿宋_GB2312" w:cs="Times New Roman"/>
          <w:sz w:val="28"/>
          <w:szCs w:val="28"/>
        </w:rPr>
        <w:t>特殊剂型制剂（如</w:t>
      </w:r>
      <w:r>
        <w:rPr>
          <w:rFonts w:hint="default" w:ascii="Times New Roman" w:hAnsi="Times New Roman" w:eastAsia="仿宋_GB2312" w:cs="Times New Roman"/>
          <w:kern w:val="0"/>
          <w:sz w:val="28"/>
          <w:szCs w:val="28"/>
        </w:rPr>
        <w:t>口服缓控释制剂、肠溶制剂、</w:t>
      </w:r>
      <w:r>
        <w:rPr>
          <w:rFonts w:hint="default" w:ascii="Times New Roman" w:hAnsi="Times New Roman" w:eastAsia="仿宋_GB2312" w:cs="Times New Roman"/>
          <w:sz w:val="28"/>
          <w:szCs w:val="28"/>
        </w:rPr>
        <w:t>透皮给药制剂、脂质体、长效制剂等）的批量变更。</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（3）采用无菌生产工艺的无菌制剂，生产时间（包括配液、药液存放、过滤、灌装等与无菌保障水平相关的步骤）的增加超过了原批准时限的50%。</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2.2、研究验证工作</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（1）说明批量变更的具体情况和原因，对变更前后生产工艺及生产设备的设计和工作原理进行对比分析，对变更后的批量进行验证。</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（2）对变更后连续生产的三批样品进行检验。</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（3）提供变更后一批样品的批生产记录。</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（4）</w:t>
      </w:r>
      <w:r>
        <w:rPr>
          <w:rFonts w:hint="default" w:ascii="Times New Roman" w:hAnsi="Times New Roman" w:eastAsia="仿宋_GB2312" w:cs="Times New Roman"/>
          <w:sz w:val="28"/>
          <w:szCs w:val="28"/>
        </w:rPr>
        <w:t>根据变更的具体情况、制剂特点及药物性质，选择适当的项目对变更前后药品进行比较研究，重点比较变更前后药物的释放行为、或与体内吸收和疗效有关的重要理化性质和指标、</w:t>
      </w:r>
      <w:r>
        <w:rPr>
          <w:rFonts w:hint="default" w:ascii="Times New Roman" w:hAnsi="Times New Roman" w:eastAsia="仿宋_GB2312" w:cs="Times New Roman"/>
          <w:kern w:val="0"/>
          <w:sz w:val="28"/>
          <w:szCs w:val="28"/>
        </w:rPr>
        <w:t>杂质状况等</w:t>
      </w:r>
      <w:r>
        <w:rPr>
          <w:rFonts w:hint="default" w:ascii="Times New Roman" w:hAnsi="Times New Roman" w:eastAsia="仿宋_GB2312" w:cs="Times New Roman"/>
          <w:sz w:val="28"/>
          <w:szCs w:val="28"/>
        </w:rPr>
        <w:t>。</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kern w:val="0"/>
          <w:sz w:val="28"/>
          <w:szCs w:val="28"/>
        </w:rPr>
        <w:t>（5）</w:t>
      </w:r>
      <w:r>
        <w:rPr>
          <w:rFonts w:hint="default" w:ascii="Times New Roman" w:hAnsi="Times New Roman" w:eastAsia="仿宋_GB2312" w:cs="Times New Roman"/>
          <w:sz w:val="28"/>
          <w:szCs w:val="28"/>
        </w:rPr>
        <w:t xml:space="preserve">对变更后一批样品进行加速及长期稳定性考察，申请时提供不少于3个月的稳定性研究资料，并与变更前产品的稳定性情况进行比较。 </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rPr>
      </w:pPr>
      <w:r>
        <w:rPr>
          <w:rFonts w:hint="default" w:ascii="Times New Roman" w:hAnsi="Times New Roman" w:eastAsia="仿宋_GB2312" w:cs="Times New Roman"/>
          <w:kern w:val="0"/>
          <w:sz w:val="28"/>
          <w:szCs w:val="28"/>
        </w:rPr>
        <w:t>（6）根据变更情况，综合评估是否需要进行BE研究，如申请免除生物等效性研究，需结合工艺的复杂程度、药物特点、批量变更情况、生产设备情况等方面综合考虑，提供充分的依据。</w:t>
      </w:r>
    </w:p>
    <w:p>
      <w:pPr>
        <w:keepNext w:val="0"/>
        <w:keepLines w:val="0"/>
        <w:pageBreakBefore w:val="0"/>
        <w:widowControl w:val="0"/>
        <w:kinsoku/>
        <w:wordWrap/>
        <w:overflowPunct w:val="0"/>
        <w:topLinePunct w:val="0"/>
        <w:bidi w:val="0"/>
        <w:spacing w:line="360" w:lineRule="auto"/>
        <w:ind w:firstLine="562" w:firstLineChars="200"/>
        <w:outlineLvl w:val="0"/>
        <w:rPr>
          <w:rFonts w:hint="default" w:ascii="Times New Roman" w:hAnsi="Times New Roman" w:eastAsia="仿宋_GB2312" w:cs="Times New Roman"/>
          <w:b/>
          <w:sz w:val="28"/>
          <w:szCs w:val="28"/>
        </w:rPr>
      </w:pPr>
      <w:bookmarkStart w:id="10" w:name="_Toc37574309"/>
      <w:r>
        <w:rPr>
          <w:rFonts w:hint="default" w:ascii="Times New Roman" w:hAnsi="Times New Roman" w:eastAsia="仿宋_GB2312" w:cs="Times New Roman"/>
          <w:b/>
          <w:sz w:val="28"/>
          <w:szCs w:val="28"/>
        </w:rPr>
        <w:t>八、变更注册标准</w:t>
      </w:r>
      <w:bookmarkEnd w:id="10"/>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变更药品注册标准一般包括变更原料药及制剂标准中的检验项目、检验方法、规定限度等。药品注册标准变更可能只涉及上述某一种情况的变更，也可能涉及上述多种情况的变更。此种情况下，需考虑分别进行相应的研究工作，但研究工作总体上应按照技术要求较高的变更类别进行。</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一般而言，变更原料药和制剂注册标准不应引起药品质量控制水平的降低。变更药品注册标准尚需考虑是否会影响到药品的有效期，如对标准进行了提高（例如缩小限度、增加检验项目等），需考证在原定的有效期内，药品是否符合修订后质量标准的要求。</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本部分内容不包含随国家药品标准变更而引起的注册标准变更，具体的变更要求可参照相关公告要求执行（如，国家药品监督管理局关于实施《中华人民共和国药典》有关事宜的公告）。</w:t>
      </w:r>
    </w:p>
    <w:p>
      <w:pPr>
        <w:keepNext w:val="0"/>
        <w:keepLines w:val="0"/>
        <w:pageBreakBefore w:val="0"/>
        <w:widowControl w:val="0"/>
        <w:kinsoku/>
        <w:wordWrap/>
        <w:overflowPunct w:val="0"/>
        <w:topLinePunct w:val="0"/>
        <w:bidi w:val="0"/>
        <w:spacing w:line="360" w:lineRule="auto"/>
        <w:ind w:firstLine="560" w:firstLineChars="200"/>
        <w:outlineLvl w:val="1"/>
        <w:rPr>
          <w:rFonts w:hint="default" w:ascii="Times New Roman" w:hAnsi="Times New Roman" w:eastAsia="仿宋_GB2312" w:cs="Times New Roman"/>
          <w:bCs/>
          <w:kern w:val="0"/>
          <w:sz w:val="28"/>
          <w:szCs w:val="28"/>
        </w:rPr>
      </w:pPr>
      <w:r>
        <w:rPr>
          <w:rFonts w:hint="default" w:ascii="Times New Roman" w:hAnsi="Times New Roman" w:eastAsia="仿宋_GB2312" w:cs="Times New Roman"/>
          <w:bCs/>
          <w:kern w:val="0"/>
          <w:sz w:val="28"/>
          <w:szCs w:val="28"/>
        </w:rPr>
        <w:t>（一）微小变更</w:t>
      </w:r>
    </w:p>
    <w:p>
      <w:pPr>
        <w:keepNext w:val="0"/>
        <w:keepLines w:val="0"/>
        <w:pageBreakBefore w:val="0"/>
        <w:widowControl w:val="0"/>
        <w:kinsoku/>
        <w:wordWrap/>
        <w:overflowPunct w:val="0"/>
        <w:topLinePunct w:val="0"/>
        <w:bidi w:val="0"/>
        <w:spacing w:line="360" w:lineRule="auto"/>
        <w:ind w:firstLine="560" w:firstLineChars="200"/>
        <w:outlineLvl w:val="2"/>
        <w:rPr>
          <w:rFonts w:hint="default" w:ascii="Times New Roman" w:hAnsi="Times New Roman" w:eastAsia="仿宋_GB2312" w:cs="Times New Roman"/>
          <w:bCs/>
          <w:kern w:val="0"/>
          <w:sz w:val="28"/>
          <w:szCs w:val="28"/>
        </w:rPr>
      </w:pPr>
      <w:r>
        <w:rPr>
          <w:rFonts w:hint="default" w:ascii="Times New Roman" w:hAnsi="Times New Roman" w:eastAsia="仿宋_GB2312" w:cs="Times New Roman"/>
          <w:bCs/>
          <w:kern w:val="0"/>
          <w:sz w:val="28"/>
          <w:szCs w:val="28"/>
        </w:rPr>
        <w:t>1、变更情况</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bCs/>
          <w:kern w:val="0"/>
          <w:sz w:val="28"/>
          <w:szCs w:val="28"/>
        </w:rPr>
      </w:pPr>
      <w:r>
        <w:rPr>
          <w:rFonts w:hint="default" w:ascii="Times New Roman" w:hAnsi="Times New Roman" w:eastAsia="仿宋_GB2312" w:cs="Times New Roman"/>
          <w:bCs/>
          <w:kern w:val="0"/>
          <w:sz w:val="28"/>
          <w:szCs w:val="28"/>
        </w:rPr>
        <w:t>此类变更包括但不限于以下情形：</w:t>
      </w:r>
    </w:p>
    <w:p>
      <w:pPr>
        <w:keepNext w:val="0"/>
        <w:keepLines w:val="0"/>
        <w:pageBreakBefore w:val="0"/>
        <w:widowControl w:val="0"/>
        <w:kinsoku/>
        <w:wordWrap/>
        <w:overflowPunct w:val="0"/>
        <w:topLinePunct w:val="0"/>
        <w:bidi w:val="0"/>
        <w:spacing w:line="360" w:lineRule="auto"/>
        <w:ind w:firstLine="560" w:firstLineChars="200"/>
        <w:outlineLvl w:val="3"/>
        <w:rPr>
          <w:rFonts w:hint="default" w:ascii="Times New Roman" w:hAnsi="Times New Roman" w:eastAsia="仿宋_GB2312" w:cs="Times New Roman"/>
          <w:bCs/>
          <w:kern w:val="0"/>
          <w:sz w:val="28"/>
          <w:szCs w:val="28"/>
        </w:rPr>
      </w:pPr>
      <w:r>
        <w:rPr>
          <w:rFonts w:hint="default" w:ascii="Times New Roman" w:hAnsi="Times New Roman" w:eastAsia="仿宋_GB2312" w:cs="Times New Roman"/>
          <w:bCs/>
          <w:kern w:val="0"/>
          <w:sz w:val="28"/>
          <w:szCs w:val="28"/>
        </w:rPr>
        <w:t>（1）在原标准规定范围内缩小限度</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这类变更是指在原标准规定范围内更加严格控制限度。例如，原料药或制剂经过长时间、多批次生产验证，水分、有关物质等指标可以达到更优的控制水平。但是因使用不同级别的原料药而引起限度范围缩小不属于此类变更范畴，例如，采用微粉化处理的原料药替代原未经处理的原料药，而引起粒度分布变小的变更。需注意限度修订一般基于一定批次样品的检测数据并符合相关的技术指导原则。</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bCs/>
          <w:kern w:val="0"/>
          <w:sz w:val="28"/>
          <w:szCs w:val="28"/>
        </w:rPr>
        <w:t>（2）</w:t>
      </w:r>
      <w:r>
        <w:rPr>
          <w:rFonts w:hint="default" w:ascii="Times New Roman" w:hAnsi="Times New Roman" w:eastAsia="仿宋_GB2312" w:cs="Times New Roman"/>
          <w:sz w:val="28"/>
          <w:szCs w:val="28"/>
        </w:rPr>
        <w:t>注册标准中文字描述的变更，此类变更不应涉及检验方法、限度等的变更。</w:t>
      </w:r>
    </w:p>
    <w:p>
      <w:pPr>
        <w:keepNext w:val="0"/>
        <w:keepLines w:val="0"/>
        <w:pageBreakBefore w:val="0"/>
        <w:widowControl w:val="0"/>
        <w:kinsoku/>
        <w:wordWrap/>
        <w:overflowPunct w:val="0"/>
        <w:topLinePunct w:val="0"/>
        <w:bidi w:val="0"/>
        <w:spacing w:line="360" w:lineRule="auto"/>
        <w:ind w:firstLine="560" w:firstLineChars="200"/>
        <w:outlineLvl w:val="2"/>
        <w:rPr>
          <w:rFonts w:hint="default" w:ascii="Times New Roman" w:hAnsi="Times New Roman" w:eastAsia="仿宋_GB2312" w:cs="Times New Roman"/>
          <w:bCs/>
          <w:kern w:val="0"/>
          <w:sz w:val="28"/>
          <w:szCs w:val="28"/>
        </w:rPr>
      </w:pPr>
      <w:r>
        <w:rPr>
          <w:rFonts w:hint="default" w:ascii="Times New Roman" w:hAnsi="Times New Roman" w:eastAsia="仿宋_GB2312" w:cs="Times New Roman"/>
          <w:bCs/>
          <w:kern w:val="0"/>
          <w:sz w:val="28"/>
          <w:szCs w:val="28"/>
        </w:rPr>
        <w:t>2、研究验证工作</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（1）说明具体变更情况和原因，提供变更后的质量标准。</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（2）若涉及限度修订，需对一定批次样品批分析结果进行汇总，为质量标准变更提供依据。</w:t>
      </w:r>
    </w:p>
    <w:p>
      <w:pPr>
        <w:keepNext w:val="0"/>
        <w:keepLines w:val="0"/>
        <w:pageBreakBefore w:val="0"/>
        <w:widowControl w:val="0"/>
        <w:kinsoku/>
        <w:wordWrap/>
        <w:overflowPunct w:val="0"/>
        <w:topLinePunct w:val="0"/>
        <w:bidi w:val="0"/>
        <w:spacing w:line="360" w:lineRule="auto"/>
        <w:ind w:firstLine="560" w:firstLineChars="200"/>
        <w:outlineLvl w:val="1"/>
        <w:rPr>
          <w:rFonts w:hint="default" w:ascii="Times New Roman" w:hAnsi="Times New Roman" w:eastAsia="仿宋_GB2312" w:cs="Times New Roman"/>
          <w:bCs/>
          <w:kern w:val="0"/>
          <w:sz w:val="28"/>
          <w:szCs w:val="28"/>
        </w:rPr>
      </w:pPr>
      <w:r>
        <w:rPr>
          <w:rFonts w:hint="default" w:ascii="Times New Roman" w:hAnsi="Times New Roman" w:eastAsia="仿宋_GB2312" w:cs="Times New Roman"/>
          <w:bCs/>
          <w:kern w:val="0"/>
          <w:sz w:val="28"/>
          <w:szCs w:val="28"/>
        </w:rPr>
        <w:t>（二）中等变更</w:t>
      </w:r>
    </w:p>
    <w:p>
      <w:pPr>
        <w:keepNext w:val="0"/>
        <w:keepLines w:val="0"/>
        <w:pageBreakBefore w:val="0"/>
        <w:widowControl w:val="0"/>
        <w:kinsoku/>
        <w:wordWrap/>
        <w:overflowPunct w:val="0"/>
        <w:topLinePunct w:val="0"/>
        <w:bidi w:val="0"/>
        <w:spacing w:line="360" w:lineRule="auto"/>
        <w:ind w:firstLine="560" w:firstLineChars="200"/>
        <w:outlineLvl w:val="2"/>
        <w:rPr>
          <w:rFonts w:hint="default" w:ascii="Times New Roman" w:hAnsi="Times New Roman" w:eastAsia="仿宋_GB2312" w:cs="Times New Roman"/>
          <w:bCs/>
          <w:kern w:val="0"/>
          <w:sz w:val="28"/>
          <w:szCs w:val="28"/>
        </w:rPr>
      </w:pPr>
      <w:r>
        <w:rPr>
          <w:rFonts w:hint="default" w:ascii="Times New Roman" w:hAnsi="Times New Roman" w:eastAsia="仿宋_GB2312" w:cs="Times New Roman"/>
          <w:bCs/>
          <w:kern w:val="0"/>
          <w:sz w:val="28"/>
          <w:szCs w:val="28"/>
        </w:rPr>
        <w:t>1、变更情况</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bCs/>
          <w:kern w:val="0"/>
          <w:sz w:val="28"/>
          <w:szCs w:val="28"/>
        </w:rPr>
      </w:pPr>
      <w:r>
        <w:rPr>
          <w:rFonts w:hint="default" w:ascii="Times New Roman" w:hAnsi="Times New Roman" w:eastAsia="仿宋_GB2312" w:cs="Times New Roman"/>
          <w:bCs/>
          <w:kern w:val="0"/>
          <w:sz w:val="28"/>
          <w:szCs w:val="28"/>
        </w:rPr>
        <w:t>此类变更包括但不限于以下情形，如在原注册标准基础上增加新的检验项目并规定其限度等。</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通常这类变更可以更有效地控制产品质量。但该变更不包括因安全性或质量原因导致的增加检验项目。另外，因生产工艺改变导致药学方面特性发生变化，而在标准中增加检验项目也不属于此类变更范畴。例如，原料药改用微粉化处理后，在标准中增加粒度分布检查。</w:t>
      </w:r>
    </w:p>
    <w:p>
      <w:pPr>
        <w:keepNext w:val="0"/>
        <w:keepLines w:val="0"/>
        <w:pageBreakBefore w:val="0"/>
        <w:widowControl w:val="0"/>
        <w:kinsoku/>
        <w:wordWrap/>
        <w:overflowPunct w:val="0"/>
        <w:topLinePunct w:val="0"/>
        <w:bidi w:val="0"/>
        <w:spacing w:line="360" w:lineRule="auto"/>
        <w:ind w:firstLine="560" w:firstLineChars="200"/>
        <w:outlineLvl w:val="2"/>
        <w:rPr>
          <w:rFonts w:hint="default" w:ascii="Times New Roman" w:hAnsi="Times New Roman" w:eastAsia="仿宋_GB2312" w:cs="Times New Roman"/>
          <w:bCs/>
          <w:kern w:val="0"/>
          <w:sz w:val="28"/>
          <w:szCs w:val="28"/>
        </w:rPr>
      </w:pPr>
      <w:r>
        <w:rPr>
          <w:rFonts w:hint="default" w:ascii="Times New Roman" w:hAnsi="Times New Roman" w:eastAsia="仿宋_GB2312" w:cs="Times New Roman"/>
          <w:bCs/>
          <w:kern w:val="0"/>
          <w:sz w:val="28"/>
          <w:szCs w:val="28"/>
        </w:rPr>
        <w:t>2、研究验证工作</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（1）说明具体变更情况和原因，提供变更后的质量标准。</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（2）对检验方法进行方法学研究（包括方法的选择和方法的验证）。</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（3）按变更后的质量标准对三批样品进行检验。</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（4）对一定批次样品批分析结果进行汇总，为质量标准变更提供依据。</w:t>
      </w:r>
    </w:p>
    <w:p>
      <w:pPr>
        <w:keepNext w:val="0"/>
        <w:keepLines w:val="0"/>
        <w:pageBreakBefore w:val="0"/>
        <w:widowControl w:val="0"/>
        <w:kinsoku/>
        <w:wordWrap/>
        <w:overflowPunct w:val="0"/>
        <w:topLinePunct w:val="0"/>
        <w:bidi w:val="0"/>
        <w:spacing w:line="360" w:lineRule="auto"/>
        <w:ind w:firstLine="560" w:firstLineChars="200"/>
        <w:outlineLvl w:val="1"/>
        <w:rPr>
          <w:rFonts w:hint="default" w:ascii="Times New Roman" w:hAnsi="Times New Roman" w:eastAsia="仿宋_GB2312" w:cs="Times New Roman"/>
          <w:bCs/>
          <w:kern w:val="0"/>
          <w:sz w:val="28"/>
          <w:szCs w:val="28"/>
        </w:rPr>
      </w:pPr>
      <w:r>
        <w:rPr>
          <w:rFonts w:hint="default" w:ascii="Times New Roman" w:hAnsi="Times New Roman" w:eastAsia="仿宋_GB2312" w:cs="Times New Roman"/>
          <w:bCs/>
          <w:kern w:val="0"/>
          <w:sz w:val="28"/>
          <w:szCs w:val="28"/>
        </w:rPr>
        <w:t>（三）重大变更</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此类变更对药品质量控制水平可能产生较显著的影响，如放宽控制限度；删除注册标准中的任何项目；注册标准检验方法的变更。由于这类变更可能对药品质量控制水平产生较显著的影响，需进行全面的研究和验证：</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1、说明具体变更情况和原因，提供变更后的质量标准。</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2、对质量标准变更合理性进行研究。</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如涉及方法改变，需对新方法进行方法学研究并应与变更前方法进行比较，确保方法变更不引起药品质量控制水平的降低。</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如涉及删除标准中任何内容，需结合药品生产过程控制、药品研发过程及药品性质等综合分析和证明该项变更不会引起药品质量控制水平的降低。</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如涉及标准限度变更需进行详实的研究，必要时需要有关安全性和/或有效性试验资料或文献资料的支持。限度变更还需基于一定数量批次样品的检测数据并符合相关的技术指导原则。</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3、按变更后的质量标准对三批样品进行检验。</w:t>
      </w:r>
    </w:p>
    <w:p>
      <w:pPr>
        <w:keepNext w:val="0"/>
        <w:keepLines w:val="0"/>
        <w:pageBreakBefore w:val="0"/>
        <w:widowControl w:val="0"/>
        <w:kinsoku/>
        <w:wordWrap/>
        <w:overflowPunct w:val="0"/>
        <w:topLinePunct w:val="0"/>
        <w:bidi w:val="0"/>
        <w:spacing w:line="360" w:lineRule="auto"/>
        <w:ind w:firstLine="562" w:firstLineChars="200"/>
        <w:outlineLvl w:val="0"/>
        <w:rPr>
          <w:rFonts w:hint="default" w:ascii="Times New Roman" w:hAnsi="Times New Roman" w:eastAsia="仿宋_GB2312" w:cs="Times New Roman"/>
          <w:b/>
          <w:sz w:val="28"/>
          <w:szCs w:val="28"/>
        </w:rPr>
      </w:pPr>
      <w:bookmarkStart w:id="11" w:name="_Toc37574310"/>
      <w:r>
        <w:rPr>
          <w:rFonts w:hint="default" w:ascii="Times New Roman" w:hAnsi="Times New Roman" w:eastAsia="仿宋_GB2312" w:cs="Times New Roman"/>
          <w:b/>
          <w:sz w:val="28"/>
          <w:szCs w:val="28"/>
        </w:rPr>
        <w:t>九、变更包装材料和容器</w:t>
      </w:r>
      <w:bookmarkEnd w:id="11"/>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bookmarkStart w:id="12" w:name="_Toc37574311"/>
      <w:r>
        <w:rPr>
          <w:rFonts w:hint="default" w:ascii="Times New Roman" w:hAnsi="Times New Roman" w:eastAsia="仿宋_GB2312" w:cs="Times New Roman"/>
          <w:sz w:val="28"/>
          <w:szCs w:val="28"/>
        </w:rPr>
        <w:t>包装材料和容器是药品的组成部分，分为直接接触药品的包装（即初级包装）、</w:t>
      </w:r>
      <w:bookmarkStart w:id="13" w:name="OLE_LINK8"/>
      <w:r>
        <w:rPr>
          <w:rFonts w:hint="default" w:ascii="Times New Roman" w:hAnsi="Times New Roman" w:eastAsia="仿宋_GB2312" w:cs="Times New Roman"/>
          <w:sz w:val="28"/>
          <w:szCs w:val="28"/>
        </w:rPr>
        <w:t>次级包装、外包装及附属物（如给药器具、药棉、干燥剂等）</w:t>
      </w:r>
      <w:bookmarkEnd w:id="13"/>
      <w:r>
        <w:rPr>
          <w:rFonts w:hint="default" w:ascii="Times New Roman" w:hAnsi="Times New Roman" w:eastAsia="仿宋_GB2312" w:cs="Times New Roman"/>
          <w:sz w:val="28"/>
          <w:szCs w:val="28"/>
        </w:rPr>
        <w:t>。包装材料和容器的变更可能对药品的鉴别、规格、质量、含量或效价等涉及到药品安全性或有效性的相关因素产生不良影响，取决于制剂的给药途径、包装材料和容器的性能以及包材成分和制剂之间相互作用的可能性。</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变更药品的包装材料和容器一般有以下情况，即变更或新增包装材料和容器的供应商，变更或新增包装系统的给药剂量控制装置，变更或新增防儿童误服安全包装、老年人友好包装、盲文印刷等提高用药依从性的包装，变更或新增带有数据传输的智能包装，变更或新增直接接触药品的包装材料和容器（包括包材的类型、容器的大小和形状），变更或新增次级包装、外包装及附属物（如给药器具，药棉、干燥剂等）。总体上，变更药品的包装材料和容器应能对保证产品质量和稳定性起到有益的作用，或至少不降低其保护作用，药物和包装材料之间不得发生不良相互作用。</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（一） 微小变更</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1、具体变更情况</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此类变更包括但不限于以下情形：</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（1）原料药、单剂量药品包装数量的变更，如，片剂、胶囊、贴剂等固体包装数量变更，注射液等液体制剂药品包装中单剂量药品包装数量（如：支数，等）变更。</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 多剂量包装容器中的非无菌固体制剂包装数量变更（如，片数、胶囊数、克数，等）。</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（3）非无菌原料药、非无菌固体制剂包装容器/材料供应商、尺寸和/或形状的变更，但包装数量（如，每瓶的片数，等）、及包装容器的材料和质量不变。</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（4） </w:t>
      </w:r>
      <w:bookmarkStart w:id="14" w:name="OLE_LINK13"/>
      <w:bookmarkStart w:id="15" w:name="OLE_LINK10"/>
      <w:r>
        <w:rPr>
          <w:rFonts w:hint="default" w:ascii="Times New Roman" w:hAnsi="Times New Roman" w:eastAsia="仿宋_GB2312" w:cs="Times New Roman"/>
          <w:sz w:val="28"/>
          <w:szCs w:val="28"/>
        </w:rPr>
        <w:t>以下情形中描述的口服固体制剂的</w:t>
      </w:r>
      <w:bookmarkStart w:id="16" w:name="OLE_LINK9"/>
      <w:r>
        <w:rPr>
          <w:rFonts w:hint="default" w:ascii="Times New Roman" w:hAnsi="Times New Roman" w:eastAsia="仿宋_GB2312" w:cs="Times New Roman"/>
          <w:sz w:val="28"/>
          <w:szCs w:val="28"/>
        </w:rPr>
        <w:t>包装材料和容器</w:t>
      </w:r>
      <w:bookmarkEnd w:id="16"/>
      <w:r>
        <w:rPr>
          <w:rFonts w:hint="default" w:ascii="Times New Roman" w:hAnsi="Times New Roman" w:eastAsia="仿宋_GB2312" w:cs="Times New Roman"/>
          <w:sz w:val="28"/>
          <w:szCs w:val="28"/>
        </w:rPr>
        <w:t>变更为已在上市口服固体制剂直接接触药品使用并具有相同或更好适用性能（例如，遮光、防潮）的包装材料和容器</w:t>
      </w:r>
      <w:bookmarkEnd w:id="14"/>
      <w:r>
        <w:rPr>
          <w:rFonts w:hint="default" w:ascii="Times New Roman" w:hAnsi="Times New Roman" w:eastAsia="仿宋_GB2312" w:cs="Times New Roman"/>
          <w:sz w:val="28"/>
          <w:szCs w:val="28"/>
        </w:rPr>
        <w:t>：</w:t>
      </w:r>
      <w:bookmarkEnd w:id="15"/>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宋体" w:cs="Times New Roman"/>
          <w:sz w:val="28"/>
          <w:szCs w:val="28"/>
        </w:rPr>
        <w:t xml:space="preserve"> •</w:t>
      </w:r>
      <w:r>
        <w:rPr>
          <w:rFonts w:hint="default" w:ascii="Times New Roman" w:hAnsi="Times New Roman" w:eastAsia="仿宋_GB2312" w:cs="Times New Roman"/>
          <w:sz w:val="28"/>
          <w:szCs w:val="28"/>
        </w:rPr>
        <w:t>增加或改变防儿童误打开锁，从金属螺旋盖变更为塑料螺旋盖，或从塑料螺旋盖改为金属螺旋盖。</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宋体" w:cs="Times New Roman"/>
          <w:sz w:val="28"/>
          <w:szCs w:val="28"/>
        </w:rPr>
        <w:t>•</w:t>
      </w:r>
      <w:r>
        <w:rPr>
          <w:rFonts w:hint="default" w:ascii="Times New Roman" w:hAnsi="Times New Roman" w:eastAsia="仿宋_GB2312" w:cs="Times New Roman"/>
          <w:sz w:val="28"/>
          <w:szCs w:val="28"/>
        </w:rPr>
        <w:tab/>
      </w:r>
      <w:r>
        <w:rPr>
          <w:rFonts w:hint="default" w:ascii="Times New Roman" w:hAnsi="Times New Roman" w:eastAsia="仿宋_GB2312" w:cs="Times New Roman"/>
          <w:sz w:val="28"/>
          <w:szCs w:val="28"/>
        </w:rPr>
        <w:t>将一种塑料容器变更为另一种相同类型的塑料容器（例如，将一种高密度聚乙烯（HDPE）容器变更为另一种HDPE容器）。</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宋体" w:cs="Times New Roman"/>
          <w:sz w:val="28"/>
          <w:szCs w:val="28"/>
        </w:rPr>
        <w:t>•</w:t>
      </w:r>
      <w:r>
        <w:rPr>
          <w:rFonts w:hint="default" w:ascii="Times New Roman" w:hAnsi="Times New Roman" w:eastAsia="仿宋_GB2312" w:cs="Times New Roman"/>
          <w:sz w:val="28"/>
          <w:szCs w:val="28"/>
        </w:rPr>
        <w:tab/>
      </w:r>
      <w:r>
        <w:rPr>
          <w:rFonts w:hint="default" w:ascii="Times New Roman" w:hAnsi="Times New Roman" w:eastAsia="仿宋_GB2312" w:cs="Times New Roman"/>
          <w:sz w:val="28"/>
          <w:szCs w:val="28"/>
        </w:rPr>
        <w:t>用于除味的包装附属物的变更（例如，炭包）。</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宋体" w:cs="Times New Roman"/>
          <w:sz w:val="28"/>
          <w:szCs w:val="28"/>
        </w:rPr>
        <w:t>•</w:t>
      </w:r>
      <w:r>
        <w:rPr>
          <w:rFonts w:hint="default" w:ascii="Times New Roman" w:hAnsi="Times New Roman" w:eastAsia="仿宋_GB2312" w:cs="Times New Roman"/>
          <w:sz w:val="28"/>
          <w:szCs w:val="28"/>
        </w:rPr>
        <w:tab/>
      </w:r>
      <w:r>
        <w:rPr>
          <w:rFonts w:hint="default" w:ascii="Times New Roman" w:hAnsi="Times New Roman" w:eastAsia="仿宋_GB2312" w:cs="Times New Roman"/>
          <w:sz w:val="28"/>
          <w:szCs w:val="28"/>
        </w:rPr>
        <w:t>瓶子填充物的变更（例如，所用棉团的重量或数量的变化）而不改变填充物的种类（例如，棉团改为人造纤维）。</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宋体" w:cs="Times New Roman"/>
          <w:sz w:val="28"/>
          <w:szCs w:val="28"/>
        </w:rPr>
        <w:t>•</w:t>
      </w:r>
      <w:r>
        <w:rPr>
          <w:rFonts w:hint="default" w:ascii="Times New Roman" w:hAnsi="Times New Roman" w:eastAsia="仿宋_GB2312" w:cs="Times New Roman"/>
          <w:sz w:val="28"/>
          <w:szCs w:val="28"/>
        </w:rPr>
        <w:tab/>
      </w:r>
      <w:r>
        <w:rPr>
          <w:rFonts w:hint="default" w:ascii="Times New Roman" w:hAnsi="Times New Roman" w:eastAsia="仿宋_GB2312" w:cs="Times New Roman"/>
          <w:sz w:val="28"/>
          <w:szCs w:val="28"/>
        </w:rPr>
        <w:t>增加容器壁的厚度，泡罩包装可以泡的厚度为准。</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宋体" w:cs="Times New Roman"/>
          <w:sz w:val="28"/>
          <w:szCs w:val="28"/>
        </w:rPr>
        <w:t>•</w:t>
      </w:r>
      <w:r>
        <w:rPr>
          <w:rFonts w:hint="default" w:ascii="Times New Roman" w:hAnsi="Times New Roman" w:eastAsia="仿宋_GB2312" w:cs="Times New Roman"/>
          <w:sz w:val="28"/>
          <w:szCs w:val="28"/>
        </w:rPr>
        <w:tab/>
      </w:r>
      <w:r>
        <w:rPr>
          <w:rFonts w:hint="default" w:ascii="Times New Roman" w:hAnsi="Times New Roman" w:eastAsia="仿宋_GB2312" w:cs="Times New Roman"/>
          <w:sz w:val="28"/>
          <w:szCs w:val="28"/>
        </w:rPr>
        <w:t>改变或增加瓶盖垫片。</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宋体" w:cs="Times New Roman"/>
          <w:sz w:val="28"/>
          <w:szCs w:val="28"/>
        </w:rPr>
        <w:t>•</w:t>
      </w:r>
      <w:r>
        <w:rPr>
          <w:rFonts w:hint="default" w:ascii="Times New Roman" w:hAnsi="Times New Roman" w:eastAsia="仿宋_GB2312" w:cs="Times New Roman"/>
          <w:sz w:val="28"/>
          <w:szCs w:val="28"/>
        </w:rPr>
        <w:tab/>
      </w:r>
      <w:r>
        <w:rPr>
          <w:rFonts w:hint="default" w:ascii="Times New Roman" w:hAnsi="Times New Roman" w:eastAsia="仿宋_GB2312" w:cs="Times New Roman"/>
          <w:sz w:val="28"/>
          <w:szCs w:val="28"/>
        </w:rPr>
        <w:t>改变或增加封口膜（例如，热导密封膜）。</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宋体" w:cs="Times New Roman"/>
          <w:sz w:val="28"/>
          <w:szCs w:val="28"/>
        </w:rPr>
        <w:t>•</w:t>
      </w:r>
      <w:r>
        <w:rPr>
          <w:rFonts w:hint="default" w:ascii="Times New Roman" w:hAnsi="Times New Roman" w:eastAsia="仿宋_GB2312" w:cs="Times New Roman"/>
          <w:sz w:val="28"/>
          <w:szCs w:val="28"/>
        </w:rPr>
        <w:tab/>
      </w:r>
      <w:r>
        <w:rPr>
          <w:rFonts w:hint="default" w:ascii="Times New Roman" w:hAnsi="Times New Roman" w:eastAsia="仿宋_GB2312" w:cs="Times New Roman"/>
          <w:sz w:val="28"/>
          <w:szCs w:val="28"/>
        </w:rPr>
        <w:t>变更为一种已在该上市药品的其它规格中使用的新的包装材料和容器。</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 以下情形描述的非无菌液体制剂的包装材料和容器变更为已在相同给药途径的液体制剂直接接触药品使用（即，与外用液体制剂接触的材料应该是已经用于其它已批准的外用液体制剂）并具有相同或更好适用性能的包装材料和容器：</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宋体" w:cs="Times New Roman"/>
          <w:sz w:val="28"/>
          <w:szCs w:val="28"/>
        </w:rPr>
        <w:t>•</w:t>
      </w:r>
      <w:r>
        <w:rPr>
          <w:rFonts w:hint="default" w:ascii="Times New Roman" w:hAnsi="Times New Roman" w:eastAsia="仿宋_GB2312" w:cs="Times New Roman"/>
          <w:sz w:val="28"/>
          <w:szCs w:val="28"/>
        </w:rPr>
        <w:tab/>
      </w:r>
      <w:r>
        <w:rPr>
          <w:rFonts w:hint="default" w:ascii="Times New Roman" w:hAnsi="Times New Roman" w:eastAsia="仿宋_GB2312" w:cs="Times New Roman"/>
          <w:sz w:val="28"/>
          <w:szCs w:val="28"/>
        </w:rPr>
        <w:t>增加或改变儿童误打开锁，从金属螺旋盖变更为塑料螺旋盖，或从塑料螺旋盖变更为金属螺旋盖。</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宋体" w:cs="Times New Roman"/>
          <w:sz w:val="28"/>
          <w:szCs w:val="28"/>
        </w:rPr>
        <w:t>•</w:t>
      </w:r>
      <w:r>
        <w:rPr>
          <w:rFonts w:hint="default" w:ascii="Times New Roman" w:hAnsi="Times New Roman" w:eastAsia="仿宋_GB2312" w:cs="Times New Roman"/>
          <w:sz w:val="28"/>
          <w:szCs w:val="28"/>
        </w:rPr>
        <w:tab/>
      </w:r>
      <w:r>
        <w:rPr>
          <w:rFonts w:hint="default" w:ascii="Times New Roman" w:hAnsi="Times New Roman" w:eastAsia="仿宋_GB2312" w:cs="Times New Roman"/>
          <w:sz w:val="28"/>
          <w:szCs w:val="28"/>
        </w:rPr>
        <w:t>增加容器壁的厚度。</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宋体" w:cs="Times New Roman"/>
          <w:sz w:val="28"/>
          <w:szCs w:val="28"/>
        </w:rPr>
        <w:t>•</w:t>
      </w:r>
      <w:r>
        <w:rPr>
          <w:rFonts w:hint="default" w:ascii="Times New Roman" w:hAnsi="Times New Roman" w:eastAsia="仿宋_GB2312" w:cs="Times New Roman"/>
          <w:sz w:val="28"/>
          <w:szCs w:val="28"/>
        </w:rPr>
        <w:tab/>
      </w:r>
      <w:r>
        <w:rPr>
          <w:rFonts w:hint="default" w:ascii="Times New Roman" w:hAnsi="Times New Roman" w:eastAsia="仿宋_GB2312" w:cs="Times New Roman"/>
          <w:sz w:val="28"/>
          <w:szCs w:val="28"/>
        </w:rPr>
        <w:t>改变或增加瓶盖垫片。</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宋体" w:cs="Times New Roman"/>
          <w:sz w:val="28"/>
          <w:szCs w:val="28"/>
        </w:rPr>
        <w:t>•</w:t>
      </w:r>
      <w:r>
        <w:rPr>
          <w:rFonts w:hint="default" w:ascii="Times New Roman" w:hAnsi="Times New Roman" w:eastAsia="仿宋_GB2312" w:cs="Times New Roman"/>
          <w:sz w:val="28"/>
          <w:szCs w:val="28"/>
        </w:rPr>
        <w:tab/>
      </w:r>
      <w:r>
        <w:rPr>
          <w:rFonts w:hint="default" w:ascii="Times New Roman" w:hAnsi="Times New Roman" w:eastAsia="仿宋_GB2312" w:cs="Times New Roman"/>
          <w:sz w:val="28"/>
          <w:szCs w:val="28"/>
        </w:rPr>
        <w:t>改变或增加封口膜（例如，热导密封膜）。</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trike/>
          <w:sz w:val="28"/>
          <w:szCs w:val="28"/>
        </w:rPr>
      </w:pPr>
      <w:r>
        <w:rPr>
          <w:rFonts w:hint="default" w:ascii="Times New Roman" w:hAnsi="Times New Roman" w:eastAsia="仿宋_GB2312" w:cs="Times New Roman"/>
          <w:sz w:val="28"/>
          <w:szCs w:val="28"/>
        </w:rPr>
        <w:t>（6）非无菌固体制剂的单剂量</w:t>
      </w:r>
      <w:bookmarkStart w:id="17" w:name="OLE_LINK17"/>
      <w:r>
        <w:rPr>
          <w:rFonts w:hint="default" w:ascii="Times New Roman" w:hAnsi="Times New Roman" w:eastAsia="仿宋_GB2312" w:cs="Times New Roman"/>
          <w:sz w:val="28"/>
          <w:szCs w:val="28"/>
        </w:rPr>
        <w:t>包装材料和容器（例如，泡罩包装）变更为在已上市同类型制剂（例如，口服固体制剂、直肠栓剂）中直接接触药品使用并具有相同或更好适用性能的包装材料和容器。</w:t>
      </w:r>
      <w:bookmarkEnd w:id="17"/>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（7）以下情形描述的非无菌半固体制剂包装材料和容器变更为在已上市半固体药品制剂中直接接触药品使用并具有相同或更好适用性能的包装材料和容器。</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宋体" w:cs="Times New Roman"/>
          <w:sz w:val="28"/>
          <w:szCs w:val="28"/>
        </w:rPr>
        <w:t>•</w:t>
      </w:r>
      <w:r>
        <w:rPr>
          <w:rFonts w:hint="default" w:ascii="Times New Roman" w:hAnsi="Times New Roman" w:eastAsia="仿宋_GB2312" w:cs="Times New Roman"/>
          <w:sz w:val="28"/>
          <w:szCs w:val="28"/>
        </w:rPr>
        <w:tab/>
      </w:r>
      <w:r>
        <w:rPr>
          <w:rFonts w:hint="default" w:ascii="Times New Roman" w:hAnsi="Times New Roman" w:eastAsia="仿宋_GB2312" w:cs="Times New Roman"/>
          <w:sz w:val="28"/>
          <w:szCs w:val="28"/>
        </w:rPr>
        <w:t>密封件或盖子的变更。</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宋体" w:cs="Times New Roman"/>
          <w:sz w:val="28"/>
          <w:szCs w:val="28"/>
        </w:rPr>
        <w:t>•</w:t>
      </w:r>
      <w:r>
        <w:rPr>
          <w:rFonts w:hint="default" w:ascii="Times New Roman" w:hAnsi="Times New Roman" w:eastAsia="仿宋_GB2312" w:cs="Times New Roman"/>
          <w:sz w:val="28"/>
          <w:szCs w:val="28"/>
        </w:rPr>
        <w:tab/>
      </w:r>
      <w:r>
        <w:rPr>
          <w:rFonts w:hint="default" w:ascii="Times New Roman" w:hAnsi="Times New Roman" w:eastAsia="仿宋_GB2312" w:cs="Times New Roman"/>
          <w:sz w:val="28"/>
          <w:szCs w:val="28"/>
        </w:rPr>
        <w:t>增加容器壁的厚度。</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宋体" w:cs="Times New Roman"/>
          <w:sz w:val="28"/>
          <w:szCs w:val="28"/>
        </w:rPr>
        <w:t>•</w:t>
      </w:r>
      <w:r>
        <w:rPr>
          <w:rFonts w:hint="default" w:ascii="Times New Roman" w:hAnsi="Times New Roman" w:eastAsia="仿宋_GB2312" w:cs="Times New Roman"/>
          <w:sz w:val="28"/>
          <w:szCs w:val="28"/>
        </w:rPr>
        <w:tab/>
      </w:r>
      <w:r>
        <w:rPr>
          <w:rFonts w:hint="default" w:ascii="Times New Roman" w:hAnsi="Times New Roman" w:eastAsia="仿宋_GB2312" w:cs="Times New Roman"/>
          <w:sz w:val="28"/>
          <w:szCs w:val="28"/>
        </w:rPr>
        <w:t>改变或增加瓶盖垫片。</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宋体" w:cs="Times New Roman"/>
          <w:sz w:val="28"/>
          <w:szCs w:val="28"/>
        </w:rPr>
        <w:t>•</w:t>
      </w:r>
      <w:r>
        <w:rPr>
          <w:rFonts w:hint="default" w:ascii="Times New Roman" w:hAnsi="Times New Roman" w:eastAsia="仿宋_GB2312" w:cs="Times New Roman"/>
          <w:sz w:val="28"/>
          <w:szCs w:val="28"/>
        </w:rPr>
        <w:tab/>
      </w:r>
      <w:r>
        <w:rPr>
          <w:rFonts w:hint="default" w:ascii="Times New Roman" w:hAnsi="Times New Roman" w:eastAsia="仿宋_GB2312" w:cs="Times New Roman"/>
          <w:sz w:val="28"/>
          <w:szCs w:val="28"/>
        </w:rPr>
        <w:t>改变或增加封口膜。</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宋体" w:cs="Times New Roman"/>
          <w:sz w:val="28"/>
          <w:szCs w:val="28"/>
        </w:rPr>
        <w:t>•</w:t>
      </w:r>
      <w:r>
        <w:rPr>
          <w:rFonts w:hint="default" w:ascii="Times New Roman" w:hAnsi="Times New Roman" w:eastAsia="仿宋_GB2312" w:cs="Times New Roman"/>
          <w:sz w:val="28"/>
          <w:szCs w:val="28"/>
        </w:rPr>
        <w:tab/>
      </w:r>
      <w:r>
        <w:rPr>
          <w:rFonts w:hint="default" w:ascii="Times New Roman" w:hAnsi="Times New Roman" w:eastAsia="仿宋_GB2312" w:cs="Times New Roman"/>
          <w:sz w:val="28"/>
          <w:szCs w:val="28"/>
        </w:rPr>
        <w:t>卷曲密封胶的变更。</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2、研究验证工作：</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（1）说明包装材料变更的原因，并详细描述变更后的包装容器情况。列出变更后包装材料的质量标准，以及在已上市的同给药途径、同类型产品中已有使用的依据。</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（2）变更前后包装材料相关特性的对比数据，如对水蒸气的渗透能力，对于密封件的变更还应开展相关研究。</w:t>
      </w:r>
    </w:p>
    <w:p>
      <w:pPr>
        <w:keepNext w:val="0"/>
        <w:keepLines w:val="0"/>
        <w:pageBreakBefore w:val="0"/>
        <w:widowControl w:val="0"/>
        <w:kinsoku/>
        <w:wordWrap/>
        <w:overflowPunct w:val="0"/>
        <w:topLinePunct w:val="0"/>
        <w:bidi w:val="0"/>
        <w:spacing w:line="360" w:lineRule="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（3）对变更后一批样品进行检验。</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（4）对</w:t>
      </w:r>
      <w:bookmarkStart w:id="18" w:name="OLE_LINK25"/>
      <w:r>
        <w:rPr>
          <w:rFonts w:hint="default" w:ascii="Times New Roman" w:hAnsi="Times New Roman" w:eastAsia="仿宋_GB2312" w:cs="Times New Roman"/>
          <w:sz w:val="28"/>
          <w:szCs w:val="28"/>
        </w:rPr>
        <w:t>变更后首批样品</w:t>
      </w:r>
      <w:bookmarkEnd w:id="18"/>
      <w:r>
        <w:rPr>
          <w:rFonts w:hint="default" w:ascii="Times New Roman" w:hAnsi="Times New Roman" w:eastAsia="仿宋_GB2312" w:cs="Times New Roman"/>
          <w:sz w:val="28"/>
          <w:szCs w:val="28"/>
        </w:rPr>
        <w:t>进行长期稳定性研究，并与变更前产品的稳定性情况进行比较。</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（二）中等变更：</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1、具体变更情况</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此类变更包括但不限于以下情形：</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color w:val="FF0000"/>
          <w:sz w:val="28"/>
          <w:szCs w:val="28"/>
        </w:rPr>
      </w:pPr>
      <w:r>
        <w:rPr>
          <w:rFonts w:hint="default" w:ascii="Times New Roman" w:hAnsi="Times New Roman" w:eastAsia="仿宋_GB2312" w:cs="Times New Roman"/>
          <w:sz w:val="28"/>
          <w:szCs w:val="28"/>
        </w:rPr>
        <w:t>（1）不影响药品质量的包装材料和容器的变更，本指导原则中另有规定的除外。</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 无菌原料药包装材料和容器供应商、尺寸和/或形状的变更，但包装规格（如，克数，等）及包装容器的材料和质量不变。</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 特殊单剂量包装的非无菌制剂单位数量（例如符合说明书单次用量的口服溶液毫升数，单个泡罩包装含有的多个胶囊或片剂，等）的变更。</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（4）非无菌制剂包装容器尺寸和/或形状的变更（固体剂型除外（见十一.（一）.3部分）），包装数量不变。</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（5）多剂量包装的非无菌制剂在药品包装数量（例如，克数、毫升数）上的变更，固体剂型除外（见十一.（一）.2部分）。</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 干燥剂的变更。</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（7）无菌制剂包装容器的供应商变更，但材质、尺寸、形状等不变。</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2、研究验证工作</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bookmarkStart w:id="19" w:name="OLE_LINK29"/>
      <w:bookmarkStart w:id="20" w:name="OLE_LINK30"/>
      <w:r>
        <w:rPr>
          <w:rFonts w:hint="default" w:ascii="Times New Roman" w:hAnsi="Times New Roman" w:eastAsia="仿宋_GB2312" w:cs="Times New Roman"/>
          <w:sz w:val="28"/>
          <w:szCs w:val="28"/>
        </w:rPr>
        <w:t>（1）说明包装材料变更的原因</w:t>
      </w:r>
      <w:bookmarkStart w:id="21" w:name="OLE_LINK26"/>
      <w:r>
        <w:rPr>
          <w:rFonts w:hint="default" w:ascii="Times New Roman" w:hAnsi="Times New Roman" w:eastAsia="仿宋_GB2312" w:cs="Times New Roman"/>
          <w:sz w:val="28"/>
          <w:szCs w:val="28"/>
        </w:rPr>
        <w:t>，并详细描述变更后的包装容器情况。列出变更后包装材料的质量标准，以及在已上市产品中已有使用的依据。</w:t>
      </w:r>
    </w:p>
    <w:bookmarkEnd w:id="21"/>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bookmarkStart w:id="22" w:name="OLE_LINK27"/>
      <w:bookmarkStart w:id="23" w:name="OLE_LINK28"/>
      <w:r>
        <w:rPr>
          <w:rFonts w:hint="default" w:ascii="Times New Roman" w:hAnsi="Times New Roman" w:eastAsia="仿宋_GB2312" w:cs="Times New Roman"/>
          <w:sz w:val="28"/>
          <w:szCs w:val="28"/>
        </w:rPr>
        <w:t>（2）变更前后包装材料相关特性的对比数据，如对水蒸气的渗透能力。</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（3）进行包材相容性研究、无菌/灭菌工艺验证和包装工艺验证。</w:t>
      </w:r>
    </w:p>
    <w:bookmarkEnd w:id="22"/>
    <w:bookmarkEnd w:id="23"/>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（3）对变更后连续生产的三批样品进行检验。</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（4）对变更后一批样品进行加速及长期稳定性研究，并与变更前产品的稳定性情况进行比较。</w:t>
      </w:r>
      <w:bookmarkEnd w:id="19"/>
      <w:bookmarkEnd w:id="20"/>
      <w:r>
        <w:rPr>
          <w:rFonts w:hint="default" w:ascii="Times New Roman" w:hAnsi="Times New Roman" w:eastAsia="仿宋_GB2312" w:cs="Times New Roman"/>
          <w:sz w:val="28"/>
          <w:szCs w:val="28"/>
        </w:rPr>
        <w:t>申报时应至少提供3个月稳定性研究数据。</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（三） 重大变更</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1、具体变更情况</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此类变更包括但不限于以下情形：</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对于液体（例如，溶液剂、悬浮剂、酏剂）和半固体（例如，乳膏剂、软膏剂）制剂，直接接触药品的包装的聚合材料（例如，塑料、橡胶）的变更，且这些变更的聚合材料成分从未在已上市的相同剂型和相同给药途径的药品中使用过。例如，用于已上市局部用软膏剂的聚合材料不被视为用于已上市眼用软膏剂。</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对于渗透或半渗透容器密闭系统中的液体（例如，溶液剂、悬浮剂、酏剂）和半固体（例如，乳膏剂、软膏剂）剂型，将一种在渗透或半渗透包材上使用的油墨和/或粘合剂变更为另一种油墨和/或粘合剂，且这种油墨和/或粘合剂从未被用于批准的同种剂型和相同给药途径药品以及相同类型渗透或半渗透包材。</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（3）与控制给药剂量或影响药物递送行为相关的直接接触药品的包装组件的变更，例如定量吸入制剂使用的阀门。</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（4）对于无菌制剂，任何可能会影响药品无菌保障水平的变更，例如：</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宋体" w:cs="Times New Roman"/>
          <w:sz w:val="28"/>
          <w:szCs w:val="28"/>
        </w:rPr>
        <w:t xml:space="preserve"> •</w:t>
      </w:r>
      <w:r>
        <w:rPr>
          <w:rFonts w:hint="default" w:ascii="Times New Roman" w:hAnsi="Times New Roman" w:eastAsia="仿宋_GB2312" w:cs="Times New Roman"/>
          <w:sz w:val="28"/>
          <w:szCs w:val="28"/>
        </w:rPr>
        <w:t>从玻璃安瓿变更为带胶塞的西林瓶。</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宋体" w:cs="Times New Roman"/>
          <w:sz w:val="28"/>
          <w:szCs w:val="28"/>
        </w:rPr>
        <w:t>•</w:t>
      </w:r>
      <w:r>
        <w:rPr>
          <w:rFonts w:hint="default" w:ascii="Times New Roman" w:hAnsi="Times New Roman" w:eastAsia="仿宋_GB2312" w:cs="Times New Roman"/>
          <w:sz w:val="28"/>
          <w:szCs w:val="28"/>
        </w:rPr>
        <w:tab/>
      </w:r>
      <w:r>
        <w:rPr>
          <w:rFonts w:hint="default" w:ascii="Times New Roman" w:hAnsi="Times New Roman" w:eastAsia="仿宋_GB2312" w:cs="Times New Roman"/>
          <w:sz w:val="28"/>
          <w:szCs w:val="28"/>
        </w:rPr>
        <w:t>从一种容器系统变更为弹性容器系统（软袋）。</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宋体" w:cs="Times New Roman"/>
          <w:sz w:val="28"/>
          <w:szCs w:val="28"/>
        </w:rPr>
        <w:t>•</w:t>
      </w:r>
      <w:r>
        <w:rPr>
          <w:rFonts w:hint="default" w:ascii="Times New Roman" w:hAnsi="Times New Roman" w:eastAsia="仿宋_GB2312" w:cs="Times New Roman"/>
          <w:sz w:val="28"/>
          <w:szCs w:val="28"/>
        </w:rPr>
        <w:tab/>
      </w:r>
      <w:r>
        <w:rPr>
          <w:rFonts w:hint="default" w:ascii="Times New Roman" w:hAnsi="Times New Roman" w:eastAsia="仿宋_GB2312" w:cs="Times New Roman"/>
          <w:sz w:val="28"/>
          <w:szCs w:val="28"/>
        </w:rPr>
        <w:t>从一种容器系统变更为预充注射器剂型。</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宋体" w:cs="Times New Roman"/>
          <w:sz w:val="28"/>
          <w:szCs w:val="28"/>
        </w:rPr>
        <w:t>•</w:t>
      </w:r>
      <w:r>
        <w:rPr>
          <w:rFonts w:hint="default" w:ascii="Times New Roman" w:hAnsi="Times New Roman" w:eastAsia="仿宋_GB2312" w:cs="Times New Roman"/>
          <w:sz w:val="28"/>
          <w:szCs w:val="28"/>
        </w:rPr>
        <w:tab/>
      </w:r>
      <w:r>
        <w:rPr>
          <w:rFonts w:hint="default" w:ascii="Times New Roman" w:hAnsi="Times New Roman" w:eastAsia="仿宋_GB2312" w:cs="Times New Roman"/>
          <w:sz w:val="28"/>
          <w:szCs w:val="28"/>
        </w:rPr>
        <w:t>从单剂量容器变更为多剂量容器系统。</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宋体" w:cs="Times New Roman"/>
          <w:sz w:val="28"/>
          <w:szCs w:val="28"/>
        </w:rPr>
        <w:t>•</w:t>
      </w:r>
      <w:r>
        <w:rPr>
          <w:rFonts w:hint="default" w:ascii="Times New Roman" w:hAnsi="Times New Roman" w:eastAsia="仿宋_GB2312" w:cs="Times New Roman"/>
          <w:sz w:val="28"/>
          <w:szCs w:val="28"/>
        </w:rPr>
        <w:tab/>
      </w:r>
      <w:r>
        <w:rPr>
          <w:rFonts w:hint="default" w:ascii="Times New Roman" w:hAnsi="Times New Roman" w:eastAsia="仿宋_GB2312" w:cs="Times New Roman"/>
          <w:sz w:val="28"/>
          <w:szCs w:val="28"/>
        </w:rPr>
        <w:t>增加或取消容器密闭系统的硅酮处理程序（例如胶塞或注射器管）的变更。</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宋体" w:cs="Times New Roman"/>
          <w:sz w:val="28"/>
          <w:szCs w:val="28"/>
        </w:rPr>
        <w:t>•</w:t>
      </w:r>
      <w:r>
        <w:rPr>
          <w:rFonts w:hint="default" w:ascii="Times New Roman" w:hAnsi="Times New Roman" w:eastAsia="仿宋_GB2312" w:cs="Times New Roman"/>
          <w:sz w:val="28"/>
          <w:szCs w:val="28"/>
        </w:rPr>
        <w:tab/>
      </w:r>
      <w:r>
        <w:rPr>
          <w:rFonts w:hint="default" w:ascii="Times New Roman" w:hAnsi="Times New Roman" w:eastAsia="仿宋_GB2312" w:cs="Times New Roman"/>
          <w:sz w:val="28"/>
          <w:szCs w:val="28"/>
        </w:rPr>
        <w:t>无菌制剂直接接触药品的容器尺寸和/或形状的变更。</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（5）去除对药品提供额外保护的次级包装组件（例如，避光纸盒、防止透水透气的外包装），或改变或增加可能影响药品杂质谱的次级包装。</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（6）变更为一种新的包装材料和容器，且这种新的包装材料和容器与已获批包装材料和容器相比，在某些方面不能提供相同或更好的适用性能。</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2、研究验证工作 </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（1）说明包装材料变更的原因，并详细描述变更后的包装容器情况。列出变更后包装材料的质量标准，以及在已上市产品中已有使用的依据。</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（2）变更前后包装材料相关特性的对比数据，如对水蒸气的渗透能力、对于密封件的变更还应开展相关研究。</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（3）进行包材相容性研究、无菌/灭菌工艺验证和包装工艺验证。对于给药系统装置发生变更，需根据给药装置的特点进行相应的研究工作，证明变更后给药剂量准确性不低于变更前。</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bookmarkStart w:id="24" w:name="OLE_LINK31"/>
      <w:r>
        <w:rPr>
          <w:rFonts w:hint="default" w:ascii="Times New Roman" w:hAnsi="Times New Roman" w:eastAsia="仿宋_GB2312" w:cs="Times New Roman"/>
          <w:sz w:val="28"/>
          <w:szCs w:val="28"/>
        </w:rPr>
        <w:t>（4）对变更后连续生产的三批样品进行检验。</w:t>
      </w:r>
    </w:p>
    <w:bookmarkEnd w:id="24"/>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bookmarkStart w:id="25" w:name="OLE_LINK35"/>
      <w:bookmarkStart w:id="26" w:name="OLE_LINK34"/>
      <w:r>
        <w:rPr>
          <w:rFonts w:hint="default" w:ascii="Times New Roman" w:hAnsi="Times New Roman" w:eastAsia="仿宋_GB2312" w:cs="Times New Roman"/>
          <w:sz w:val="28"/>
          <w:szCs w:val="28"/>
        </w:rPr>
        <w:t>（5）对变更后三批样品进行加速及长期稳定性研究，并与变更前产品的稳定性情况进行比较。</w:t>
      </w:r>
      <w:bookmarkEnd w:id="25"/>
      <w:bookmarkEnd w:id="26"/>
      <w:r>
        <w:rPr>
          <w:rFonts w:hint="default" w:ascii="Times New Roman" w:hAnsi="Times New Roman" w:eastAsia="仿宋_GB2312" w:cs="Times New Roman"/>
          <w:sz w:val="28"/>
          <w:szCs w:val="28"/>
        </w:rPr>
        <w:t>申报时应至少提供3-6个月稳定性研究数据。</w:t>
      </w:r>
    </w:p>
    <w:p>
      <w:pPr>
        <w:keepNext w:val="0"/>
        <w:keepLines w:val="0"/>
        <w:pageBreakBefore w:val="0"/>
        <w:widowControl w:val="0"/>
        <w:kinsoku/>
        <w:wordWrap/>
        <w:overflowPunct w:val="0"/>
        <w:topLinePunct w:val="0"/>
        <w:bidi w:val="0"/>
        <w:spacing w:line="360" w:lineRule="auto"/>
        <w:ind w:firstLine="562" w:firstLineChars="200"/>
        <w:outlineLvl w:val="0"/>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十、变更有效期和贮藏条件</w:t>
      </w:r>
      <w:bookmarkEnd w:id="12"/>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药品有效期和贮藏条件变更可能包含以下几种情况：①延长有效期；②缩短有效期；③严格贮藏条件；④放宽贮藏条件。</w:t>
      </w:r>
      <w:r>
        <w:rPr>
          <w:rFonts w:hint="default" w:ascii="Times New Roman" w:hAnsi="Times New Roman" w:eastAsia="仿宋_GB2312" w:cs="Times New Roman"/>
          <w:kern w:val="0"/>
          <w:sz w:val="28"/>
          <w:szCs w:val="28"/>
        </w:rPr>
        <w:t>变更</w:t>
      </w:r>
      <w:r>
        <w:rPr>
          <w:rFonts w:hint="default" w:ascii="Times New Roman" w:hAnsi="Times New Roman" w:eastAsia="仿宋_GB2312" w:cs="Times New Roman"/>
          <w:sz w:val="28"/>
          <w:szCs w:val="28"/>
        </w:rPr>
        <w:t>可能只涉及上述某一种情况的变更，也可能涉及上述多种情况的变更。此种情况下，需注意分别进行相应的研究工作。</w:t>
      </w:r>
    </w:p>
    <w:p>
      <w:pPr>
        <w:keepNext w:val="0"/>
        <w:keepLines w:val="0"/>
        <w:pageBreakBefore w:val="0"/>
        <w:widowControl w:val="0"/>
        <w:kinsoku/>
        <w:wordWrap/>
        <w:overflowPunct w:val="0"/>
        <w:topLinePunct w:val="0"/>
        <w:bidi w:val="0"/>
        <w:spacing w:line="360" w:lineRule="auto"/>
        <w:ind w:firstLine="560" w:firstLineChars="200"/>
        <w:outlineLvl w:val="1"/>
        <w:rPr>
          <w:rFonts w:hint="default" w:ascii="Times New Roman" w:hAnsi="Times New Roman" w:eastAsia="仿宋_GB2312" w:cs="Times New Roman"/>
          <w:bCs/>
          <w:kern w:val="0"/>
          <w:sz w:val="28"/>
          <w:szCs w:val="28"/>
        </w:rPr>
      </w:pPr>
      <w:r>
        <w:rPr>
          <w:rFonts w:hint="default" w:ascii="Times New Roman" w:hAnsi="Times New Roman" w:eastAsia="仿宋_GB2312" w:cs="Times New Roman"/>
          <w:bCs/>
          <w:kern w:val="0"/>
          <w:sz w:val="28"/>
          <w:szCs w:val="28"/>
        </w:rPr>
        <w:t>（一）中等变更</w:t>
      </w:r>
    </w:p>
    <w:p>
      <w:pPr>
        <w:keepNext w:val="0"/>
        <w:keepLines w:val="0"/>
        <w:pageBreakBefore w:val="0"/>
        <w:widowControl w:val="0"/>
        <w:kinsoku/>
        <w:wordWrap/>
        <w:overflowPunct w:val="0"/>
        <w:topLinePunct w:val="0"/>
        <w:bidi w:val="0"/>
        <w:spacing w:line="360" w:lineRule="auto"/>
        <w:ind w:firstLine="560" w:firstLineChars="200"/>
        <w:outlineLvl w:val="1"/>
        <w:rPr>
          <w:rFonts w:hint="default" w:ascii="Times New Roman" w:hAnsi="Times New Roman" w:eastAsia="仿宋_GB2312" w:cs="Times New Roman"/>
          <w:bCs/>
          <w:kern w:val="0"/>
          <w:sz w:val="28"/>
          <w:szCs w:val="28"/>
        </w:rPr>
      </w:pPr>
      <w:r>
        <w:rPr>
          <w:rFonts w:hint="default" w:ascii="Times New Roman" w:hAnsi="Times New Roman" w:eastAsia="仿宋_GB2312" w:cs="Times New Roman"/>
          <w:bCs/>
          <w:kern w:val="0"/>
          <w:sz w:val="28"/>
          <w:szCs w:val="28"/>
        </w:rPr>
        <w:t>1、变更情况</w:t>
      </w:r>
    </w:p>
    <w:p>
      <w:pPr>
        <w:keepNext w:val="0"/>
        <w:keepLines w:val="0"/>
        <w:pageBreakBefore w:val="0"/>
        <w:widowControl w:val="0"/>
        <w:kinsoku/>
        <w:wordWrap/>
        <w:overflowPunct w:val="0"/>
        <w:topLinePunct w:val="0"/>
        <w:bidi w:val="0"/>
        <w:spacing w:line="360" w:lineRule="auto"/>
        <w:ind w:firstLine="560" w:firstLineChars="200"/>
        <w:outlineLvl w:val="2"/>
        <w:rPr>
          <w:rFonts w:hint="default" w:ascii="Times New Roman" w:hAnsi="Times New Roman" w:eastAsia="仿宋_GB2312" w:cs="Times New Roman"/>
          <w:bCs/>
          <w:kern w:val="0"/>
          <w:sz w:val="28"/>
          <w:szCs w:val="28"/>
        </w:rPr>
      </w:pPr>
      <w:r>
        <w:rPr>
          <w:rFonts w:hint="default" w:ascii="Times New Roman" w:hAnsi="Times New Roman" w:eastAsia="仿宋_GB2312" w:cs="Times New Roman"/>
          <w:bCs/>
          <w:kern w:val="0"/>
          <w:sz w:val="28"/>
          <w:szCs w:val="28"/>
        </w:rPr>
        <w:t>此类变更包括但不限于以下情形：</w:t>
      </w:r>
    </w:p>
    <w:p>
      <w:pPr>
        <w:keepNext w:val="0"/>
        <w:keepLines w:val="0"/>
        <w:pageBreakBefore w:val="0"/>
        <w:widowControl w:val="0"/>
        <w:kinsoku/>
        <w:wordWrap/>
        <w:overflowPunct w:val="0"/>
        <w:topLinePunct w:val="0"/>
        <w:bidi w:val="0"/>
        <w:spacing w:line="360" w:lineRule="auto"/>
        <w:ind w:firstLine="560" w:firstLineChars="200"/>
        <w:outlineLvl w:val="3"/>
        <w:rPr>
          <w:rFonts w:hint="default" w:ascii="Times New Roman" w:hAnsi="Times New Roman" w:eastAsia="仿宋_GB2312" w:cs="Times New Roman"/>
          <w:bCs/>
          <w:kern w:val="0"/>
          <w:sz w:val="28"/>
          <w:szCs w:val="28"/>
        </w:rPr>
      </w:pPr>
      <w:r>
        <w:rPr>
          <w:rFonts w:hint="default" w:ascii="Times New Roman" w:hAnsi="Times New Roman" w:eastAsia="仿宋_GB2312" w:cs="Times New Roman"/>
          <w:bCs/>
          <w:kern w:val="0"/>
          <w:sz w:val="28"/>
          <w:szCs w:val="28"/>
        </w:rPr>
        <w:t>（1）延长药品有效期</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bCs/>
          <w:kern w:val="0"/>
          <w:sz w:val="28"/>
          <w:szCs w:val="28"/>
        </w:rPr>
        <w:t>有效期变更</w:t>
      </w:r>
      <w:r>
        <w:rPr>
          <w:rFonts w:hint="default" w:ascii="Times New Roman" w:hAnsi="Times New Roman" w:eastAsia="仿宋_GB2312" w:cs="Times New Roman"/>
          <w:sz w:val="28"/>
          <w:szCs w:val="28"/>
        </w:rPr>
        <w:t>主要依据长期留样稳定性试验结果。延长药品有效期不应超过稳定性长期留样试验已完成的时间。</w:t>
      </w:r>
    </w:p>
    <w:p>
      <w:pPr>
        <w:keepNext w:val="0"/>
        <w:keepLines w:val="0"/>
        <w:pageBreakBefore w:val="0"/>
        <w:widowControl w:val="0"/>
        <w:kinsoku/>
        <w:wordWrap/>
        <w:overflowPunct w:val="0"/>
        <w:topLinePunct w:val="0"/>
        <w:bidi w:val="0"/>
        <w:spacing w:line="360" w:lineRule="auto"/>
        <w:ind w:firstLine="560" w:firstLineChars="200"/>
        <w:outlineLvl w:val="3"/>
        <w:rPr>
          <w:rFonts w:hint="default" w:ascii="Times New Roman" w:hAnsi="Times New Roman" w:eastAsia="仿宋_GB2312" w:cs="Times New Roman"/>
          <w:bCs/>
          <w:kern w:val="0"/>
          <w:sz w:val="28"/>
          <w:szCs w:val="28"/>
        </w:rPr>
      </w:pPr>
      <w:r>
        <w:rPr>
          <w:rFonts w:hint="default" w:ascii="Times New Roman" w:hAnsi="Times New Roman" w:eastAsia="仿宋_GB2312" w:cs="Times New Roman"/>
          <w:bCs/>
          <w:kern w:val="0"/>
          <w:sz w:val="28"/>
          <w:szCs w:val="28"/>
        </w:rPr>
        <w:t>（2）缩短药品有效期</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此类变更不包括因生产中的意外事件或稳定性试验中出现问题而要求缩短药品有效期。</w:t>
      </w:r>
      <w:r>
        <w:rPr>
          <w:rFonts w:hint="default" w:ascii="Times New Roman" w:hAnsi="Times New Roman" w:eastAsia="仿宋_GB2312" w:cs="Times New Roman"/>
          <w:bCs/>
          <w:kern w:val="0"/>
          <w:sz w:val="28"/>
          <w:szCs w:val="28"/>
        </w:rPr>
        <w:t>有效期</w:t>
      </w:r>
      <w:r>
        <w:rPr>
          <w:rFonts w:hint="default" w:ascii="Times New Roman" w:hAnsi="Times New Roman" w:eastAsia="仿宋_GB2312" w:cs="Times New Roman"/>
          <w:sz w:val="28"/>
          <w:szCs w:val="28"/>
        </w:rPr>
        <w:t>变更主要依据长期留样稳定性试验结果。</w:t>
      </w:r>
    </w:p>
    <w:p>
      <w:pPr>
        <w:keepNext w:val="0"/>
        <w:keepLines w:val="0"/>
        <w:pageBreakBefore w:val="0"/>
        <w:widowControl w:val="0"/>
        <w:kinsoku/>
        <w:wordWrap/>
        <w:overflowPunct w:val="0"/>
        <w:topLinePunct w:val="0"/>
        <w:bidi w:val="0"/>
        <w:spacing w:line="360" w:lineRule="auto"/>
        <w:ind w:firstLine="560" w:firstLineChars="200"/>
        <w:outlineLvl w:val="2"/>
        <w:rPr>
          <w:rFonts w:hint="default" w:ascii="Times New Roman" w:hAnsi="Times New Roman" w:eastAsia="仿宋_GB2312" w:cs="Times New Roman"/>
          <w:bCs/>
          <w:kern w:val="0"/>
          <w:sz w:val="28"/>
          <w:szCs w:val="28"/>
        </w:rPr>
      </w:pPr>
      <w:r>
        <w:rPr>
          <w:rFonts w:hint="default" w:ascii="Times New Roman" w:hAnsi="Times New Roman" w:eastAsia="仿宋_GB2312" w:cs="Times New Roman"/>
          <w:bCs/>
          <w:kern w:val="0"/>
          <w:sz w:val="28"/>
          <w:szCs w:val="28"/>
        </w:rPr>
        <w:t>2、研究验证工作</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（1）说明变更后的有效期及变更原因。</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（2）按照确定的稳定性试验方案，对至少三批样品进行稳定性考察。</w:t>
      </w:r>
    </w:p>
    <w:p>
      <w:pPr>
        <w:keepNext w:val="0"/>
        <w:keepLines w:val="0"/>
        <w:pageBreakBefore w:val="0"/>
        <w:widowControl w:val="0"/>
        <w:kinsoku/>
        <w:wordWrap/>
        <w:overflowPunct w:val="0"/>
        <w:topLinePunct w:val="0"/>
        <w:bidi w:val="0"/>
        <w:spacing w:line="360" w:lineRule="auto"/>
        <w:ind w:firstLine="560" w:firstLineChars="200"/>
        <w:outlineLvl w:val="1"/>
        <w:rPr>
          <w:rFonts w:hint="default" w:ascii="Times New Roman" w:hAnsi="Times New Roman" w:eastAsia="仿宋_GB2312" w:cs="Times New Roman"/>
          <w:bCs/>
          <w:kern w:val="0"/>
          <w:sz w:val="28"/>
          <w:szCs w:val="28"/>
        </w:rPr>
      </w:pPr>
      <w:r>
        <w:rPr>
          <w:rFonts w:hint="default" w:ascii="Times New Roman" w:hAnsi="Times New Roman" w:eastAsia="仿宋_GB2312" w:cs="Times New Roman"/>
          <w:bCs/>
          <w:kern w:val="0"/>
          <w:sz w:val="28"/>
          <w:szCs w:val="28"/>
        </w:rPr>
        <w:t>（二）重大变更</w:t>
      </w:r>
    </w:p>
    <w:p>
      <w:pPr>
        <w:keepNext w:val="0"/>
        <w:keepLines w:val="0"/>
        <w:pageBreakBefore w:val="0"/>
        <w:widowControl w:val="0"/>
        <w:kinsoku/>
        <w:wordWrap/>
        <w:overflowPunct w:val="0"/>
        <w:topLinePunct w:val="0"/>
        <w:bidi w:val="0"/>
        <w:spacing w:line="360" w:lineRule="auto"/>
        <w:ind w:firstLine="560" w:firstLineChars="200"/>
        <w:outlineLvl w:val="1"/>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1、变更情况</w:t>
      </w:r>
    </w:p>
    <w:p>
      <w:pPr>
        <w:keepNext w:val="0"/>
        <w:keepLines w:val="0"/>
        <w:pageBreakBefore w:val="0"/>
        <w:widowControl w:val="0"/>
        <w:kinsoku/>
        <w:wordWrap/>
        <w:overflowPunct w:val="0"/>
        <w:topLinePunct w:val="0"/>
        <w:bidi w:val="0"/>
        <w:spacing w:line="360" w:lineRule="auto"/>
        <w:ind w:firstLine="560" w:firstLineChars="200"/>
        <w:outlineLvl w:val="2"/>
        <w:rPr>
          <w:rFonts w:hint="default" w:ascii="Times New Roman" w:hAnsi="Times New Roman" w:eastAsia="仿宋_GB2312" w:cs="Times New Roman"/>
          <w:bCs/>
          <w:kern w:val="0"/>
          <w:sz w:val="28"/>
          <w:szCs w:val="28"/>
        </w:rPr>
      </w:pPr>
      <w:r>
        <w:rPr>
          <w:rFonts w:hint="default" w:ascii="Times New Roman" w:hAnsi="Times New Roman" w:eastAsia="仿宋_GB2312" w:cs="Times New Roman"/>
          <w:bCs/>
          <w:kern w:val="0"/>
          <w:sz w:val="28"/>
          <w:szCs w:val="28"/>
        </w:rPr>
        <w:t>此类变更包括但不限于以下情形：</w:t>
      </w:r>
    </w:p>
    <w:p>
      <w:pPr>
        <w:keepNext w:val="0"/>
        <w:keepLines w:val="0"/>
        <w:pageBreakBefore w:val="0"/>
        <w:widowControl w:val="0"/>
        <w:kinsoku/>
        <w:wordWrap/>
        <w:overflowPunct w:val="0"/>
        <w:topLinePunct w:val="0"/>
        <w:bidi w:val="0"/>
        <w:spacing w:line="360" w:lineRule="auto"/>
        <w:ind w:firstLine="560" w:firstLineChars="200"/>
        <w:outlineLvl w:val="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（1）变更药品贮藏条件。</w:t>
      </w:r>
    </w:p>
    <w:p>
      <w:pPr>
        <w:keepNext w:val="0"/>
        <w:keepLines w:val="0"/>
        <w:pageBreakBefore w:val="0"/>
        <w:widowControl w:val="0"/>
        <w:kinsoku/>
        <w:wordWrap/>
        <w:overflowPunct w:val="0"/>
        <w:topLinePunct w:val="0"/>
        <w:bidi w:val="0"/>
        <w:spacing w:line="360" w:lineRule="auto"/>
        <w:ind w:firstLine="560" w:firstLineChars="200"/>
        <w:outlineLvl w:val="2"/>
        <w:rPr>
          <w:rFonts w:hint="default" w:ascii="Times New Roman" w:hAnsi="Times New Roman" w:eastAsia="仿宋_GB2312" w:cs="Times New Roman"/>
          <w:sz w:val="28"/>
          <w:szCs w:val="28"/>
        </w:rPr>
      </w:pPr>
      <w:r>
        <w:rPr>
          <w:rFonts w:hint="default" w:ascii="Times New Roman" w:hAnsi="Times New Roman" w:eastAsia="仿宋_GB2312" w:cs="Times New Roman"/>
          <w:bCs/>
          <w:kern w:val="0"/>
          <w:sz w:val="28"/>
          <w:szCs w:val="28"/>
        </w:rPr>
        <w:t>（2）</w:t>
      </w:r>
      <w:r>
        <w:rPr>
          <w:rFonts w:hint="default" w:ascii="Times New Roman" w:hAnsi="Times New Roman" w:eastAsia="仿宋_GB2312" w:cs="Times New Roman"/>
          <w:sz w:val="28"/>
          <w:szCs w:val="28"/>
        </w:rPr>
        <w:t>由于药品的生产工艺、处方、质量标准、直接接触药品的包装材料和容器等方面的变更导致的有效期变更。</w:t>
      </w:r>
    </w:p>
    <w:p>
      <w:pPr>
        <w:keepNext w:val="0"/>
        <w:keepLines w:val="0"/>
        <w:pageBreakBefore w:val="0"/>
        <w:widowControl w:val="0"/>
        <w:kinsoku/>
        <w:wordWrap/>
        <w:overflowPunct w:val="0"/>
        <w:topLinePunct w:val="0"/>
        <w:bidi w:val="0"/>
        <w:spacing w:line="360" w:lineRule="auto"/>
        <w:ind w:firstLine="560" w:firstLineChars="200"/>
        <w:outlineLvl w:val="1"/>
        <w:rPr>
          <w:rFonts w:hint="default" w:ascii="Times New Roman" w:hAnsi="Times New Roman" w:eastAsia="仿宋_GB2312" w:cs="Times New Roman"/>
          <w:sz w:val="28"/>
          <w:szCs w:val="28"/>
        </w:rPr>
      </w:pPr>
      <w:r>
        <w:rPr>
          <w:rFonts w:hint="default" w:ascii="Times New Roman" w:hAnsi="Times New Roman" w:eastAsia="仿宋_GB2312" w:cs="Times New Roman"/>
          <w:bCs/>
          <w:kern w:val="0"/>
          <w:sz w:val="28"/>
          <w:szCs w:val="28"/>
        </w:rPr>
        <w:t>2、</w:t>
      </w:r>
      <w:r>
        <w:rPr>
          <w:rFonts w:hint="default" w:ascii="Times New Roman" w:hAnsi="Times New Roman" w:eastAsia="仿宋_GB2312" w:cs="Times New Roman"/>
          <w:sz w:val="28"/>
          <w:szCs w:val="28"/>
        </w:rPr>
        <w:t>研究验证工作</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（1）详细说明变更后的贮藏条件和/或有效期，说明变更的原因。</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（2）按照确定的稳定性试验方案，对至少三批样品进行稳定性考察。</w:t>
      </w:r>
    </w:p>
    <w:p>
      <w:pPr>
        <w:keepNext w:val="0"/>
        <w:keepLines w:val="0"/>
        <w:pageBreakBefore w:val="0"/>
        <w:widowControl w:val="0"/>
        <w:kinsoku/>
        <w:wordWrap/>
        <w:overflowPunct w:val="0"/>
        <w:topLinePunct w:val="0"/>
        <w:bidi w:val="0"/>
        <w:spacing w:line="360" w:lineRule="auto"/>
        <w:ind w:firstLine="562" w:firstLineChars="200"/>
        <w:outlineLvl w:val="0"/>
        <w:rPr>
          <w:rFonts w:hint="default" w:ascii="Times New Roman" w:hAnsi="Times New Roman" w:eastAsia="仿宋_GB2312" w:cs="Times New Roman"/>
          <w:b/>
          <w:sz w:val="28"/>
          <w:szCs w:val="28"/>
        </w:rPr>
      </w:pPr>
      <w:bookmarkStart w:id="27" w:name="_Toc37574312"/>
      <w:r>
        <w:rPr>
          <w:rFonts w:hint="default" w:ascii="Times New Roman" w:hAnsi="Times New Roman" w:eastAsia="仿宋_GB2312" w:cs="Times New Roman"/>
          <w:b/>
          <w:sz w:val="28"/>
          <w:szCs w:val="28"/>
        </w:rPr>
        <w:t>十一、增加规格</w:t>
      </w:r>
      <w:bookmarkEnd w:id="27"/>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kern w:val="0"/>
          <w:sz w:val="28"/>
          <w:szCs w:val="28"/>
        </w:rPr>
        <w:t>本指导原则的药品规格是指单剂量处方中或单一包装容器中主药的含量（或效价）。对片剂、胶囊等单剂量药品，规格以主药在单剂量处方中标示量表示；对于注射剂，规格以单一包装容器中药品重量或体积中主药标示量表示；对于非无菌半固体制剂、口服液体剂、滴眼剂等制剂，规格以处方中药物浓度表示。</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增加规格应遵循方便临床用药的原则。其变更应有合理、科学的依据。总体上，增加规格一般应在其临床使用的用法用量范围内，不得大于单次用药的最高剂量，或对成人用药来说不得小于成人单次用药的最低剂量。</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宋体" w:cs="Times New Roman"/>
          <w:kern w:val="0"/>
          <w:sz w:val="12"/>
          <w:szCs w:val="12"/>
        </w:rPr>
      </w:pPr>
      <w:r>
        <w:rPr>
          <w:rFonts w:hint="default" w:ascii="Times New Roman" w:hAnsi="Times New Roman" w:eastAsia="仿宋_GB2312" w:cs="Times New Roman"/>
          <w:kern w:val="0"/>
          <w:sz w:val="28"/>
          <w:szCs w:val="28"/>
        </w:rPr>
        <w:t>本指导原则涵盖的增加规格，是指原研药品增加规格或仿制药增加目前原研药品/参比制剂已有的药品规格，不得改变药品原批准的适应症、用法用量或者适用人群等，均属于重大变更。</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研究验证工作：</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1、说明变更的具体情况和原因。</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2、对新增规格进行处方研究、工艺研究和验证，并与变更前规格进行对比。对于无菌制剂，还需进行无菌/灭菌工艺验证。</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 xml:space="preserve">3、提供变更后一批样品的批生产记录。 </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4、对变更后连续生产的三批样品进行检验。</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5、对变更规格前后的样品进行质量对比研究，重点考察变更规格前后的药品杂质状况及溶出/释放行为、或与体内吸收和疗效有关的重要理化性质和指标、杂质状况等是否保持一致。</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kern w:val="0"/>
          <w:sz w:val="28"/>
          <w:szCs w:val="28"/>
        </w:rPr>
        <w:t>6、</w:t>
      </w:r>
      <w:r>
        <w:rPr>
          <w:rFonts w:hint="default" w:ascii="Times New Roman" w:hAnsi="Times New Roman" w:eastAsia="仿宋_GB2312" w:cs="Times New Roman"/>
          <w:sz w:val="28"/>
          <w:szCs w:val="28"/>
        </w:rPr>
        <w:t xml:space="preserve">对变更后三批样品进行加速及长期稳定性考察，申请时提供3～6个月的稳定性研究资料，并与原规格产品的稳定性情况进行比较。 </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7、新增规格的生物等效性研究参考《以药动学参数为终点评价指标的化学药物仿制药人体生物等效性研究技术指导原则》及其他相关指导原则。</w:t>
      </w:r>
    </w:p>
    <w:p>
      <w:pPr>
        <w:keepNext w:val="0"/>
        <w:keepLines w:val="0"/>
        <w:pageBreakBefore w:val="0"/>
        <w:widowControl w:val="0"/>
        <w:kinsoku/>
        <w:wordWrap/>
        <w:overflowPunct w:val="0"/>
        <w:topLinePunct w:val="0"/>
        <w:bidi w:val="0"/>
        <w:spacing w:line="360" w:lineRule="auto"/>
        <w:ind w:firstLine="562" w:firstLineChars="200"/>
        <w:outlineLvl w:val="0"/>
        <w:rPr>
          <w:rFonts w:hint="default" w:ascii="Times New Roman" w:hAnsi="Times New Roman" w:eastAsia="仿宋_GB2312" w:cs="Times New Roman"/>
          <w:b/>
          <w:sz w:val="28"/>
          <w:szCs w:val="28"/>
        </w:rPr>
      </w:pPr>
      <w:bookmarkStart w:id="28" w:name="_Toc37574313"/>
      <w:r>
        <w:rPr>
          <w:rFonts w:hint="default" w:ascii="Times New Roman" w:hAnsi="Times New Roman" w:eastAsia="仿宋_GB2312" w:cs="Times New Roman"/>
          <w:b/>
          <w:sz w:val="28"/>
          <w:szCs w:val="28"/>
        </w:rPr>
        <w:t>十二、变更原料药生产场地</w:t>
      </w:r>
      <w:bookmarkEnd w:id="28"/>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原料药的生产场地（生产、包装、检验和放行场地）变更，包括原料药实际生产地址的改变或同一生产地址内的生产场地的改建、重建和新建。一般来说，同一地址内的生产场地变更的风险小于不同地址，非无菌原料药生产场地变更的风险小于无菌原料药，有同类原料药生产经验的生产场地的变更的风险小于无同类原料药生产经验的生产场地的变更。</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变更原料药场地，由于新生产场地生产设备、生产环境（温度和湿度）、技术人员素质等与原生产场地情况很难完全一致，会对原料药生产和质量产生一定的影响，一般需要进行比较全面的研究验证工作。持有人是原料药生产场地变更的责任主体，应当对生产场地变更的必要性、变更的风险进行合理评估，对变更前后原料药的质量控制、稳定性等方面应当进行全面分析和研究验证，重点关注变更前后原料药关键理化性质（如粒度分布、晶型）和杂质状况（包括残留溶剂）等是否保持一致，科学合理地评价生产场地变更对药品安全性和有效性的影响。相同的人员素质是指已在同一地址工作一段时间，且对生产工艺具备足够经验的人员。</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总体上，新旧场地生产工艺应保持一致。如变更原料药场地的同时，其生产工艺发生改变，则需按照本指导原则相关章节要求进行研究和验证。</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（一）微小变更</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1．变更情况</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此类变更包括但不限于以下情形：</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（1）变更原料药的贴签地址、外包装地址、稳定性试验地址。</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非无菌原料药的生产转移至同一生产地址内变更。但变更前后的生产设备、但变更前后的生产设备、操作规程、环境条件（比如温度和湿度）、质量控制过程和人员素质等方面一致；如发生变更，需按照本指导原则相关章节要求进行研究和验证。</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2、研究验证工作</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（1）说明变更的具体情况和原因。</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（2）比较新旧场地生产工艺情况。对变更前后生产设备的性能、工作原理、生产能力、生产厂家及型号进行比较，进行质量风险评估并说明变更前后生产设备与变更工艺的匹配性。</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（3）对变更后的原料药进行工艺验证。</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（4）提供变更后一批样品的批生产记录。</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（5）对变更前后原料药进行质量对比研究，关键理化性质和杂质状况需保持一致。</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（6）对变更后连续生产的三批样品进行检验。</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（7）在年报中报告首批样品的长期稳定性试验数据。</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（二）中等变更</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1、变更情况</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此类变更包括但不限于以下情形：</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本指导原则中未另作规定的任何原料药的生产变更至另一不同的生产场地。</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2、研究验证工作</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（1）说明变更的具体情况和原因。</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（2）比较新旧场地生产工艺情况。对变更前后生产设备的性能、工作原理、生产能力、生产厂家及型号进行比较，进行质量风险评估并说明变更前后生产设备与工艺的匹配性。</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（3）对变更后的生产进行工艺验证。</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（4）提供变更后一批样品的批生产记录。</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（5）对变更前后原料药进行质量对比研究，关键理化性质和杂质状况需保持一致。</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（6）对变更后连续生产的三批样品进行检验。</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kern w:val="0"/>
          <w:sz w:val="28"/>
          <w:szCs w:val="28"/>
        </w:rPr>
        <w:t>（7）</w:t>
      </w:r>
      <w:r>
        <w:rPr>
          <w:rFonts w:hint="default" w:ascii="Times New Roman" w:hAnsi="Times New Roman" w:eastAsia="仿宋_GB2312" w:cs="Times New Roman"/>
          <w:sz w:val="28"/>
          <w:szCs w:val="28"/>
        </w:rPr>
        <w:t xml:space="preserve">对变更后一批样品进行加速及长期稳定性考察，申请时提供不少于3个月的稳定性研究资料，并与变更前产品的稳定性情况进行比较。 </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（三）重大变更</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1、变更情况</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此类变更包括但不限于以下情形：</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无菌原料药的无菌生产步骤在同一生产场地改建、重建或新建的生产线或场所，或转移至另一不同生产场地。</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对于上述的情形，如果变更后的场地在两年内已有无菌原料药批准生产，可按中等变更实施。</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2、研究验证工作</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（1）说明变更的具体情况和原因。</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2）比较新旧场地生产工艺情况。对变更前后生产设备的性能、工作原理、生产能力、生产厂家及型号进行比较，进行质量风险评估并说明变更前后生产设备与工艺的匹配性。关注生产场地变更对原料药无菌保障水平的影响。</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（3）对变更后的原料药进行工艺验证。</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（4）提供变更后一批样品的批生产记录。</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（5）对变更前后原料药进行质量对比研究，关键理化性质和杂质状况需保持一致。</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（6）对变更后连续生产的三批样品进行检验。</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kern w:val="0"/>
          <w:sz w:val="28"/>
          <w:szCs w:val="28"/>
        </w:rPr>
        <w:t>（7）</w:t>
      </w:r>
      <w:r>
        <w:rPr>
          <w:rFonts w:hint="default" w:ascii="Times New Roman" w:hAnsi="Times New Roman" w:eastAsia="仿宋_GB2312" w:cs="Times New Roman"/>
          <w:sz w:val="28"/>
          <w:szCs w:val="28"/>
        </w:rPr>
        <w:t xml:space="preserve">对变更后三批样品进行加速及长期稳定性考察，申请时提供3～6个月的稳定性研究资料，并与变更前产品的稳定性情况进行比较。 </w:t>
      </w:r>
    </w:p>
    <w:p>
      <w:pPr>
        <w:keepNext w:val="0"/>
        <w:keepLines w:val="0"/>
        <w:pageBreakBefore w:val="0"/>
        <w:widowControl w:val="0"/>
        <w:kinsoku/>
        <w:wordWrap/>
        <w:overflowPunct w:val="0"/>
        <w:topLinePunct w:val="0"/>
        <w:bidi w:val="0"/>
        <w:spacing w:line="360" w:lineRule="auto"/>
        <w:ind w:firstLine="562" w:firstLineChars="200"/>
        <w:outlineLvl w:val="0"/>
        <w:rPr>
          <w:rFonts w:hint="default" w:ascii="Times New Roman" w:hAnsi="Times New Roman" w:eastAsia="仿宋_GB2312" w:cs="Times New Roman"/>
          <w:b/>
          <w:sz w:val="28"/>
          <w:szCs w:val="28"/>
        </w:rPr>
      </w:pPr>
      <w:bookmarkStart w:id="29" w:name="_Toc37574314"/>
      <w:r>
        <w:rPr>
          <w:rFonts w:hint="default" w:ascii="Times New Roman" w:hAnsi="Times New Roman" w:eastAsia="仿宋_GB2312" w:cs="Times New Roman"/>
          <w:b/>
          <w:sz w:val="28"/>
          <w:szCs w:val="28"/>
        </w:rPr>
        <w:t>十三、变更制剂的生产场地</w:t>
      </w:r>
      <w:bookmarkEnd w:id="29"/>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bookmarkStart w:id="30" w:name="_Toc37574315"/>
      <w:r>
        <w:rPr>
          <w:rFonts w:hint="default" w:ascii="Times New Roman" w:hAnsi="Times New Roman" w:eastAsia="仿宋_GB2312" w:cs="Times New Roman"/>
          <w:sz w:val="28"/>
          <w:szCs w:val="28"/>
        </w:rPr>
        <w:t>制剂的生产场地包括持有人所有的或是受托生产企业所有的生产场地。制剂生产场地职能包括：生产制剂、中间体；包装；贴标签；检验原、辅料、药品包装材料和容器、中间体或制剂等。检验场地包括那些执行物理、化学、生物和微生物检测以监测、接收或拒收物料的场地，也包括执行稳定性测试的场地。</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制剂的生产场地（生产、包装、检验和放行场地）变更，包括制剂的实际生产地址的改变或同一生产地址内的生产场地的改建、重建和新建。一般来说，同一地址内的生产场地变更的风险小于不同地址，非无菌制剂生产场地变更的风险小于无菌制剂，普通制剂生产场地变更的风险小于特殊剂型制剂，有同类制剂生产经验的生产场地的变更的风险小于无同类制剂生产经验的生产场地的变更。</w:t>
      </w:r>
    </w:p>
    <w:p>
      <w:pPr>
        <w:keepNext w:val="0"/>
        <w:keepLines w:val="0"/>
        <w:pageBreakBefore w:val="0"/>
        <w:widowControl w:val="0"/>
        <w:kinsoku/>
        <w:wordWrap/>
        <w:overflowPunct w:val="0"/>
        <w:topLinePunct w:val="0"/>
        <w:bidi w:val="0"/>
        <w:spacing w:line="360" w:lineRule="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变更制剂生产场地，由于新生产场地的生产设备、生产环境（温度和湿度）、技术人员素质等与原生产场地情况很难完全一致，会对制剂的生产和质量产生一定的影响，甚至可能影响到药品安全性和有效性，一般需要进行全面的研究和验证工作。持有人是制剂生产场地变更的责任主体，应当对生产场地变更的必要性、变更的风险进行合理评估，对变更前后药品的质量控制、稳定性、生物学等方面应当进行全面分析和研究验证，科学合理地评价生产场地变更对药品安全性和有效性的影响。相同的人员素质是指已在同一地址工作一段时间，且对生产工艺具备足够经验的人员。</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总体上，新旧场地处方和生产工艺应保持一致，包括辅料、溶剂、生产的质量过程控制等需保持一致。如变更制制剂场地的同时，其处方和生产工艺发生改变，则需按照本指导原则相关章节要求进行研究和验证。</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（一）微小变更</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1、变更情况</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此类变更包括但不限于以下情形：</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（1）在同一生产地址内检验和放行场地的变更。</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（2）固体口服制剂的印字工序场地的变更。</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（3）次级包装和外包装工序、贴签工序场地的变更。</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（4）当包装工艺与获批的工艺没有实质性差异时，包装材料和容器灭菌场地的变更。</w:t>
      </w:r>
    </w:p>
    <w:p>
      <w:pPr>
        <w:keepNext w:val="0"/>
        <w:keepLines w:val="0"/>
        <w:pageBreakBefore w:val="0"/>
        <w:widowControl w:val="0"/>
        <w:kinsoku/>
        <w:wordWrap/>
        <w:overflowPunct w:val="0"/>
        <w:topLinePunct w:val="0"/>
        <w:bidi w:val="0"/>
        <w:spacing w:line="360" w:lineRule="auto"/>
        <w:ind w:firstLine="708" w:firstLineChars="253"/>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（5）非无菌制剂、中间体的生产和初级包装场地</w:t>
      </w:r>
      <w:bookmarkStart w:id="31" w:name="OLE_LINK3"/>
      <w:r>
        <w:rPr>
          <w:rFonts w:hint="default" w:ascii="Times New Roman" w:hAnsi="Times New Roman" w:eastAsia="仿宋_GB2312" w:cs="Times New Roman"/>
          <w:sz w:val="28"/>
          <w:szCs w:val="28"/>
        </w:rPr>
        <w:t>在同一生产地址内</w:t>
      </w:r>
      <w:bookmarkEnd w:id="31"/>
      <w:r>
        <w:rPr>
          <w:rFonts w:hint="default" w:ascii="Times New Roman" w:hAnsi="Times New Roman" w:eastAsia="仿宋_GB2312" w:cs="Times New Roman"/>
          <w:sz w:val="28"/>
          <w:szCs w:val="28"/>
        </w:rPr>
        <w:t>变更。但变更前后的生产设备、操作规程、环境条件（比如温度和湿度）、质量控制过程和人员素质等方面一致；如发生变更，需按照本指导原则相关章节要求进行研究和验证。</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2、研究验证工作 </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（1）说明变更的具体情况和原因。</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（2）比较新旧场地处方和生产工艺情况。对变更前后生产设备的性能、工作原理、生产能力、生产厂家及型号进行比较，进行质量风险评估并说明变更前后生产设备与变更工艺的匹配性。</w:t>
      </w:r>
      <w:bookmarkStart w:id="32" w:name="OLE_LINK32"/>
      <w:bookmarkStart w:id="33" w:name="OLE_LINK33"/>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（3）对变更后的制剂进行工艺验证。</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（4）提供变更后一批样品的批生产记录。</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（5）对变更前后样品进行质量对比研究，重点考察质量标准的符合性，必要时进行溶出度的对比研究。</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（6）对变更后连续生产的三批样品进行检验。</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（7）对变更后首批样品进行长期稳定性研究工作，并与变更前产品的稳定性情况进行比较。</w:t>
      </w:r>
    </w:p>
    <w:bookmarkEnd w:id="32"/>
    <w:bookmarkEnd w:id="33"/>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（二）中等变更 </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1、变更情况</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此类变更包括但不限于以下情形：</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（1）检验和放行场地的变更至另一不同地址的生产场地。</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（2）本指导原则中未另作规定的任何制剂、中间体的生产变更至另一不同地址的生产场地。</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（3）终端灭菌工艺制剂在同一生产地址内变更生产场地。</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（4）未被列入重大变更的任何制剂和缓控释、肠溶固体口服制剂的初级包装变更至另一不同地址的生产场地。</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2、研究验证工作</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（1）说明变更的具体情况和原因。</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（2）比较新旧场地处方和生产工艺情况。对变更前后生产设备的性能、工作原理、生产能力、生产厂家及型号进行比较，进行质量风险评估并说明变更前后生产设备与变更工艺的匹配性。</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（3）进行变更后样品的工艺验证。</w:t>
      </w:r>
      <w:bookmarkStart w:id="34" w:name="OLE_LINK37"/>
      <w:bookmarkStart w:id="35" w:name="OLE_LINK36"/>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（4）提供变更后一批样品的批生产记录。</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（5）进行变更前后的样品的质量对比研究工作，</w:t>
      </w:r>
      <w:r>
        <w:rPr>
          <w:rFonts w:hint="default" w:ascii="Times New Roman" w:hAnsi="Times New Roman" w:eastAsia="仿宋_GB2312" w:cs="Times New Roman"/>
          <w:kern w:val="0"/>
          <w:sz w:val="28"/>
          <w:szCs w:val="28"/>
        </w:rPr>
        <w:t>重点证明变更前后样品的溶出/释放行为，或与体内吸收和疗效有关的重要理化性质和指标保持、杂质状况保持一致。</w:t>
      </w:r>
      <w:r>
        <w:rPr>
          <w:rFonts w:hint="default" w:ascii="Times New Roman" w:hAnsi="Times New Roman" w:eastAsia="仿宋_GB2312" w:cs="Times New Roman"/>
          <w:sz w:val="28"/>
          <w:szCs w:val="28"/>
        </w:rPr>
        <w:t xml:space="preserve"> </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（6）对变更后连续生产的三批样品进行检验。</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（7）对变更后首批样品进行加速和长期稳定性研究，并与变更前药品稳定性情况进行比较。申报时应至少提供3个月稳定性研究数据。</w:t>
      </w:r>
    </w:p>
    <w:bookmarkEnd w:id="34"/>
    <w:bookmarkEnd w:id="35"/>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（三）重大变更：</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1、变更情况</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此类变更包括但不限于以下情形：</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 终端灭菌工艺的无菌制剂变更至另一不同地址的生产场地；非终端灭菌工艺的无菌制剂同一地址或不同地址内变更生产场地。如果变更后的生产地址在两年内已有相同剂型的药品生产，可按中等变更实施。</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（2）特殊剂型制剂的生产，变更至另一不同地址的生产场地。这些类型的药品包括但不限于缓控释、肠溶固体口服制剂、透皮给药制剂、脂质体、长效制剂等。</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（3）直接接触药品包装可能影响药物利用的速率或程度的药品的生产和初级包装，变更至另一不同地址的生产场地。如，定量吸入制剂、干粉吸入制剂和鼻腔喷雾制剂等。</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2、研究验证工作 </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（1）说明变更的具体情况和原因。</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（2）比较新旧场地处方和生产工艺情况。对变更前后生产设备的性能、工作原理、生产能力、生产厂家及型号进行比较，进行质量风险评估并说明变更前后生产设备与变更工艺的匹配性。</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（3）完成变更后连续3批样品的工艺验证工作。</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（4）提供变更后一批样品的批生产记录。</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（5）进行变更前后的样品的质量对比研究工作，</w:t>
      </w:r>
      <w:r>
        <w:rPr>
          <w:rFonts w:hint="default" w:ascii="Times New Roman" w:hAnsi="Times New Roman" w:eastAsia="仿宋_GB2312" w:cs="Times New Roman"/>
          <w:kern w:val="0"/>
          <w:sz w:val="28"/>
          <w:szCs w:val="28"/>
        </w:rPr>
        <w:t>重点比较变更前后样品的溶出/释放行为、或与体内吸收和疗效有关的重要理化性质和指标、杂质状况等。</w:t>
      </w:r>
      <w:r>
        <w:rPr>
          <w:rFonts w:hint="default" w:ascii="Times New Roman" w:hAnsi="Times New Roman" w:eastAsia="仿宋_GB2312" w:cs="Times New Roman"/>
          <w:sz w:val="28"/>
          <w:szCs w:val="28"/>
        </w:rPr>
        <w:t xml:space="preserve"> </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（6）对变更后连续生产的三批样品进行检验。</w:t>
      </w:r>
    </w:p>
    <w:p>
      <w:pPr>
        <w:keepNext w:val="0"/>
        <w:keepLines w:val="0"/>
        <w:pageBreakBefore w:val="0"/>
        <w:widowControl w:val="0"/>
        <w:kinsoku/>
        <w:wordWrap/>
        <w:overflowPunct w:val="0"/>
        <w:topLinePunct w:val="0"/>
        <w:bidi w:val="0"/>
        <w:spacing w:line="360" w:lineRule="auto"/>
        <w:ind w:firstLine="565" w:firstLineChars="20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（7）对变更后前三批样品进行加速和长期试验稳定性研究，并与变更前药品稳定性情况进行比较。申报时应至少提供3个月稳定性研究数据。</w:t>
      </w:r>
    </w:p>
    <w:p>
      <w:pPr>
        <w:keepNext w:val="0"/>
        <w:keepLines w:val="0"/>
        <w:pageBreakBefore w:val="0"/>
        <w:widowControl w:val="0"/>
        <w:kinsoku/>
        <w:wordWrap/>
        <w:overflowPunct w:val="0"/>
        <w:topLinePunct w:val="0"/>
        <w:bidi w:val="0"/>
        <w:spacing w:line="360" w:lineRule="auto"/>
        <w:ind w:firstLine="48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（8）对于特殊剂型，一般需考虑进行生物等效性研究。如申请免除生物等效性研究，需进行充分的研究和分析。</w:t>
      </w:r>
    </w:p>
    <w:p>
      <w:pPr>
        <w:keepNext w:val="0"/>
        <w:keepLines w:val="0"/>
        <w:pageBreakBefore w:val="0"/>
        <w:widowControl w:val="0"/>
        <w:kinsoku/>
        <w:wordWrap/>
        <w:overflowPunct w:val="0"/>
        <w:topLinePunct w:val="0"/>
        <w:bidi w:val="0"/>
        <w:spacing w:line="360" w:lineRule="auto"/>
        <w:ind w:firstLine="562" w:firstLineChars="200"/>
        <w:outlineLvl w:val="0"/>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参考文献</w:t>
      </w:r>
      <w:bookmarkEnd w:id="30"/>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一、FDA有关指导原则</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1、SUPAC-IR: Immediate-Release Solid Oral Dosage Forms: Scale-Up and Post-Approval Changes: Chemistry, Manufacturing and Controls, In Vitro Dissolution Testing, and In Vivo Bioequivalence Documentation (I)  11/30/1995</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2、SUPAC-MR: Modified Release Solid Oral Dosage Forms: Scale-Up and Postapproval Changes: Chemistry, Manufacturing, and Controls, In Vitro Dissolution Testing, and In Vivo Bioequivalence Documentation (I)  10/6/1997</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3、SUPAC-SS: Nonsterile Semisolid Dosage Forms; Scale-Up and Postapproval Changes: Chemistry, Manufacturing, and Controls; In Vitro Release Testing and In Vivo Bioequivalence Documentation (I)    6/13/1997</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4、Guidance for Industry. Changes to an Approved NDA or ANDA. U.S. Department of Health and Human Services, Food and Drug Administration, Center for Drug Evaluation and Research (CDER). April 2004 </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5、Guidance for Industry .CMC Postapproval Manufacturing Changes To Be Documented in Annual Reports. U.S. Department of Health and Human Services, Food and Drug Administration, Center for Drug Evaluation and Research (CDER). March 2014 </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6、Postapproval Changes to Drug Substances . Guidance for Industry .  U.S. Department of Health and Human Services Food and Drug Administration，Center for Drug Evaluation and Research (CDER) .Center for Biologics Evaluation and Research (CBER) .Center for Veterinary Medicine (CVM) .September 2018</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7、SUPACIR Questions and Answers about SUPACIR Guidance. U.S. Food and Drug Administration . February 18, 1997</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二、EMEA有关指导原则</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8、Guidelines on the details of the various categories of variations, on the operation of the procedures laid down in Chapters II, IIa, III and IV of Commission Regulation (EC) No 1234/2008 of 24 November 2008 concerning the examination of variations to the terms of marketing authorisations for medicinal products for human use and veterinary medicinal products and on the documentation to be submitted pursuant to those procedures.EUROPEAN COMMISSION. (2013/C 223/01). 2.8.2013</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9、Questions and answers on post approval change management protocols.  EMA/CHMP/CVMP/QWP/586330/2010 ，Committee for Medicinal Products for Human Use (CHMP). 30 March 2012</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四、ICH有关指导原则</w:t>
      </w:r>
    </w:p>
    <w:p>
      <w:pPr>
        <w:keepNext w:val="0"/>
        <w:keepLines w:val="0"/>
        <w:pageBreakBefore w:val="0"/>
        <w:widowControl w:val="0"/>
        <w:kinsoku/>
        <w:wordWrap/>
        <w:overflowPunct w:val="0"/>
        <w:topLinePunct w:val="0"/>
        <w:autoSpaceDE w:val="0"/>
        <w:autoSpaceDN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10、Technical And Regulatory Considerations For Pharmaceutical Product Lifecycle Management Q12. International Concil For Harmonisation Of Technical Requirements For Pharmaceuticals For Human USE . 16 November 2017  </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五、其他</w:t>
      </w:r>
    </w:p>
    <w:p>
      <w:pPr>
        <w:keepNext w:val="0"/>
        <w:keepLines w:val="0"/>
        <w:pageBreakBefore w:val="0"/>
        <w:widowControl w:val="0"/>
        <w:kinsoku/>
        <w:wordWrap/>
        <w:overflowPunct w:val="0"/>
        <w:topLinePunct w:val="0"/>
        <w:bidi w:val="0"/>
        <w:spacing w:line="360" w:lineRule="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11、已上市化学药品变更研究的技术指导原则（一）. 2008年1月</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12、已上市化学药品生产工艺变更研究技术指导原则（征求意见稿）. 2017年8月</w:t>
      </w:r>
    </w:p>
    <w:p>
      <w:pPr>
        <w:keepNext w:val="0"/>
        <w:keepLines w:val="0"/>
        <w:pageBreakBefore w:val="0"/>
        <w:widowControl w:val="0"/>
        <w:kinsoku/>
        <w:wordWrap/>
        <w:overflowPunct w:val="0"/>
        <w:topLinePunct w:val="0"/>
        <w:bidi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13、21 CFR 314.70. April 1, 2019</w:t>
      </w:r>
    </w:p>
    <w:p>
      <w:pPr>
        <w:keepNext w:val="0"/>
        <w:keepLines w:val="0"/>
        <w:pageBreakBefore w:val="0"/>
        <w:widowControl w:val="0"/>
        <w:kinsoku/>
        <w:wordWrap/>
        <w:overflowPunct w:val="0"/>
        <w:topLinePunct w:val="0"/>
        <w:bidi w:val="0"/>
        <w:spacing w:line="360" w:lineRule="auto"/>
        <w:ind w:firstLine="562" w:firstLineChars="200"/>
        <w:outlineLvl w:val="0"/>
        <w:rPr>
          <w:rFonts w:hint="default" w:ascii="Times New Roman" w:hAnsi="Times New Roman" w:eastAsia="仿宋_GB2312" w:cs="Times New Roman"/>
          <w:b/>
          <w:sz w:val="28"/>
          <w:szCs w:val="28"/>
        </w:rPr>
      </w:pPr>
      <w:bookmarkStart w:id="36" w:name="_Toc37574316"/>
      <w:r>
        <w:rPr>
          <w:rFonts w:hint="default" w:ascii="Times New Roman" w:hAnsi="Times New Roman" w:eastAsia="仿宋_GB2312" w:cs="Times New Roman"/>
          <w:b/>
          <w:sz w:val="28"/>
          <w:szCs w:val="28"/>
        </w:rPr>
        <w:t>著者</w:t>
      </w:r>
      <w:bookmarkEnd w:id="36"/>
    </w:p>
    <w:p>
      <w:pPr>
        <w:keepNext w:val="0"/>
        <w:keepLines w:val="0"/>
        <w:pageBreakBefore w:val="0"/>
        <w:widowControl w:val="0"/>
        <w:kinsoku/>
        <w:wordWrap/>
        <w:overflowPunct w:val="0"/>
        <w:topLinePunct w:val="0"/>
        <w:bidi w:val="0"/>
        <w:spacing w:line="360" w:lineRule="auto"/>
        <w:ind w:firstLine="630" w:firstLineChars="225"/>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《已上市化学药品药学变更研究的技术指导原则》课题研究组 </w:t>
      </w:r>
    </w:p>
    <w:p>
      <w:r>
        <w:rPr>
          <w:rFonts w:ascii="Times New Roman" w:hAnsi="Times New Roman" w:eastAsia="仿宋_GB2312" w:cs="Times New Roman"/>
          <w:b/>
          <w:sz w:val="28"/>
          <w:szCs w:val="28"/>
        </w:rPr>
        <w:t xml:space="preserve"> </w:t>
      </w: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EUAlbertina">
    <w:altName w:val="宋体"/>
    <w:panose1 w:val="00000000000000000000"/>
    <w:charset w:val="86"/>
    <w:family w:val="roman"/>
    <w:pitch w:val="default"/>
    <w:sig w:usb0="00000000" w:usb1="00000000" w:usb2="0000001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hint="eastAsia"/>
      </w:rPr>
    </w:pPr>
    <w:r>
      <w:rPr>
        <w:rFonts w:hint="eastAsia"/>
      </w:rPr>
      <w:t>第</w:t>
    </w:r>
    <w:sdt>
      <w:sdtPr>
        <w:id w:val="-961812967"/>
        <w:docPartObj>
          <w:docPartGallery w:val="autotext"/>
        </w:docPartObj>
      </w:sdtPr>
      <w:sdtContent>
        <w:r>
          <w:fldChar w:fldCharType="begin"/>
        </w:r>
        <w:r>
          <w:instrText xml:space="preserve">PAGE   \* MERGEFORMAT</w:instrText>
        </w:r>
        <w:r>
          <w:fldChar w:fldCharType="separate"/>
        </w:r>
        <w:r>
          <w:rPr>
            <w:lang w:val="zh-CN"/>
          </w:rPr>
          <w:t>58</w:t>
        </w:r>
        <w:r>
          <w:fldChar w:fldCharType="end"/>
        </w:r>
        <w:r>
          <w:rPr>
            <w:rFonts w:hint="eastAsia"/>
          </w:rPr>
          <w:t>页</w:t>
        </w: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118129"/>
    <w:multiLevelType w:val="singleLevel"/>
    <w:tmpl w:val="90118129"/>
    <w:lvl w:ilvl="0" w:tentative="0">
      <w:start w:val="1"/>
      <w:numFmt w:val="decimal"/>
      <w:suff w:val="nothing"/>
      <w:lvlText w:val="（%1）"/>
      <w:lvlJc w:val="left"/>
    </w:lvl>
  </w:abstractNum>
  <w:abstractNum w:abstractNumId="1">
    <w:nsid w:val="661D34D8"/>
    <w:multiLevelType w:val="multilevel"/>
    <w:tmpl w:val="661D34D8"/>
    <w:lvl w:ilvl="0" w:tentative="0">
      <w:start w:val="1"/>
      <w:numFmt w:val="bullet"/>
      <w:lvlText w:val=""/>
      <w:lvlJc w:val="left"/>
      <w:pPr>
        <w:ind w:left="986" w:hanging="420"/>
      </w:pPr>
      <w:rPr>
        <w:rFonts w:hint="default" w:ascii="Wingdings" w:hAnsi="Wingdings"/>
      </w:rPr>
    </w:lvl>
    <w:lvl w:ilvl="1" w:tentative="0">
      <w:start w:val="1"/>
      <w:numFmt w:val="bullet"/>
      <w:lvlText w:val=""/>
      <w:lvlJc w:val="left"/>
      <w:pPr>
        <w:ind w:left="1406" w:hanging="420"/>
      </w:pPr>
      <w:rPr>
        <w:rFonts w:hint="default" w:ascii="Wingdings" w:hAnsi="Wingdings"/>
      </w:rPr>
    </w:lvl>
    <w:lvl w:ilvl="2" w:tentative="0">
      <w:start w:val="1"/>
      <w:numFmt w:val="bullet"/>
      <w:lvlText w:val=""/>
      <w:lvlJc w:val="left"/>
      <w:pPr>
        <w:ind w:left="1826" w:hanging="420"/>
      </w:pPr>
      <w:rPr>
        <w:rFonts w:hint="default" w:ascii="Wingdings" w:hAnsi="Wingdings"/>
      </w:rPr>
    </w:lvl>
    <w:lvl w:ilvl="3" w:tentative="0">
      <w:start w:val="1"/>
      <w:numFmt w:val="bullet"/>
      <w:lvlText w:val=""/>
      <w:lvlJc w:val="left"/>
      <w:pPr>
        <w:ind w:left="2246" w:hanging="420"/>
      </w:pPr>
      <w:rPr>
        <w:rFonts w:hint="default" w:ascii="Wingdings" w:hAnsi="Wingdings"/>
      </w:rPr>
    </w:lvl>
    <w:lvl w:ilvl="4" w:tentative="0">
      <w:start w:val="1"/>
      <w:numFmt w:val="bullet"/>
      <w:lvlText w:val=""/>
      <w:lvlJc w:val="left"/>
      <w:pPr>
        <w:ind w:left="2666" w:hanging="420"/>
      </w:pPr>
      <w:rPr>
        <w:rFonts w:hint="default" w:ascii="Wingdings" w:hAnsi="Wingdings"/>
      </w:rPr>
    </w:lvl>
    <w:lvl w:ilvl="5" w:tentative="0">
      <w:start w:val="1"/>
      <w:numFmt w:val="bullet"/>
      <w:lvlText w:val=""/>
      <w:lvlJc w:val="left"/>
      <w:pPr>
        <w:ind w:left="3086" w:hanging="420"/>
      </w:pPr>
      <w:rPr>
        <w:rFonts w:hint="default" w:ascii="Wingdings" w:hAnsi="Wingdings"/>
      </w:rPr>
    </w:lvl>
    <w:lvl w:ilvl="6" w:tentative="0">
      <w:start w:val="1"/>
      <w:numFmt w:val="bullet"/>
      <w:lvlText w:val=""/>
      <w:lvlJc w:val="left"/>
      <w:pPr>
        <w:ind w:left="3506" w:hanging="420"/>
      </w:pPr>
      <w:rPr>
        <w:rFonts w:hint="default" w:ascii="Wingdings" w:hAnsi="Wingdings"/>
      </w:rPr>
    </w:lvl>
    <w:lvl w:ilvl="7" w:tentative="0">
      <w:start w:val="1"/>
      <w:numFmt w:val="bullet"/>
      <w:lvlText w:val=""/>
      <w:lvlJc w:val="left"/>
      <w:pPr>
        <w:ind w:left="3926" w:hanging="420"/>
      </w:pPr>
      <w:rPr>
        <w:rFonts w:hint="default" w:ascii="Wingdings" w:hAnsi="Wingdings"/>
      </w:rPr>
    </w:lvl>
    <w:lvl w:ilvl="8" w:tentative="0">
      <w:start w:val="1"/>
      <w:numFmt w:val="bullet"/>
      <w:lvlText w:val=""/>
      <w:lvlJc w:val="left"/>
      <w:pPr>
        <w:ind w:left="4346" w:hanging="420"/>
      </w:pPr>
      <w:rPr>
        <w:rFonts w:hint="default" w:ascii="Wingdings" w:hAnsi="Wingdings"/>
      </w:rPr>
    </w:lvl>
  </w:abstractNum>
  <w:abstractNum w:abstractNumId="2">
    <w:nsid w:val="7EE743AA"/>
    <w:multiLevelType w:val="multilevel"/>
    <w:tmpl w:val="7EE743AA"/>
    <w:lvl w:ilvl="0" w:tentative="0">
      <w:start w:val="1"/>
      <w:numFmt w:val="bullet"/>
      <w:lvlText w:val=""/>
      <w:lvlJc w:val="left"/>
      <w:pPr>
        <w:ind w:left="986" w:hanging="420"/>
      </w:pPr>
      <w:rPr>
        <w:rFonts w:hint="default" w:ascii="Wingdings" w:hAnsi="Wingdings"/>
      </w:rPr>
    </w:lvl>
    <w:lvl w:ilvl="1" w:tentative="0">
      <w:start w:val="1"/>
      <w:numFmt w:val="bullet"/>
      <w:lvlText w:val=""/>
      <w:lvlJc w:val="left"/>
      <w:pPr>
        <w:ind w:left="1406" w:hanging="420"/>
      </w:pPr>
      <w:rPr>
        <w:rFonts w:hint="default" w:ascii="Wingdings" w:hAnsi="Wingdings"/>
      </w:rPr>
    </w:lvl>
    <w:lvl w:ilvl="2" w:tentative="0">
      <w:start w:val="1"/>
      <w:numFmt w:val="bullet"/>
      <w:lvlText w:val=""/>
      <w:lvlJc w:val="left"/>
      <w:pPr>
        <w:ind w:left="1826" w:hanging="420"/>
      </w:pPr>
      <w:rPr>
        <w:rFonts w:hint="default" w:ascii="Wingdings" w:hAnsi="Wingdings"/>
      </w:rPr>
    </w:lvl>
    <w:lvl w:ilvl="3" w:tentative="0">
      <w:start w:val="1"/>
      <w:numFmt w:val="bullet"/>
      <w:lvlText w:val=""/>
      <w:lvlJc w:val="left"/>
      <w:pPr>
        <w:ind w:left="2246" w:hanging="420"/>
      </w:pPr>
      <w:rPr>
        <w:rFonts w:hint="default" w:ascii="Wingdings" w:hAnsi="Wingdings"/>
      </w:rPr>
    </w:lvl>
    <w:lvl w:ilvl="4" w:tentative="0">
      <w:start w:val="1"/>
      <w:numFmt w:val="bullet"/>
      <w:lvlText w:val=""/>
      <w:lvlJc w:val="left"/>
      <w:pPr>
        <w:ind w:left="2666" w:hanging="420"/>
      </w:pPr>
      <w:rPr>
        <w:rFonts w:hint="default" w:ascii="Wingdings" w:hAnsi="Wingdings"/>
      </w:rPr>
    </w:lvl>
    <w:lvl w:ilvl="5" w:tentative="0">
      <w:start w:val="1"/>
      <w:numFmt w:val="bullet"/>
      <w:lvlText w:val=""/>
      <w:lvlJc w:val="left"/>
      <w:pPr>
        <w:ind w:left="3086" w:hanging="420"/>
      </w:pPr>
      <w:rPr>
        <w:rFonts w:hint="default" w:ascii="Wingdings" w:hAnsi="Wingdings"/>
      </w:rPr>
    </w:lvl>
    <w:lvl w:ilvl="6" w:tentative="0">
      <w:start w:val="1"/>
      <w:numFmt w:val="bullet"/>
      <w:lvlText w:val=""/>
      <w:lvlJc w:val="left"/>
      <w:pPr>
        <w:ind w:left="3506" w:hanging="420"/>
      </w:pPr>
      <w:rPr>
        <w:rFonts w:hint="default" w:ascii="Wingdings" w:hAnsi="Wingdings"/>
      </w:rPr>
    </w:lvl>
    <w:lvl w:ilvl="7" w:tentative="0">
      <w:start w:val="1"/>
      <w:numFmt w:val="bullet"/>
      <w:lvlText w:val=""/>
      <w:lvlJc w:val="left"/>
      <w:pPr>
        <w:ind w:left="3926" w:hanging="420"/>
      </w:pPr>
      <w:rPr>
        <w:rFonts w:hint="default" w:ascii="Wingdings" w:hAnsi="Wingdings"/>
      </w:rPr>
    </w:lvl>
    <w:lvl w:ilvl="8" w:tentative="0">
      <w:start w:val="1"/>
      <w:numFmt w:val="bullet"/>
      <w:lvlText w:val=""/>
      <w:lvlJc w:val="left"/>
      <w:pPr>
        <w:ind w:left="4346"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455"/>
    <w:rsid w:val="00032E52"/>
    <w:rsid w:val="000364E1"/>
    <w:rsid w:val="000F39F4"/>
    <w:rsid w:val="00346553"/>
    <w:rsid w:val="00355B4F"/>
    <w:rsid w:val="00393852"/>
    <w:rsid w:val="003D6F90"/>
    <w:rsid w:val="00582341"/>
    <w:rsid w:val="006246FF"/>
    <w:rsid w:val="00636E03"/>
    <w:rsid w:val="006415D0"/>
    <w:rsid w:val="006C27EC"/>
    <w:rsid w:val="007955E0"/>
    <w:rsid w:val="007C6C5F"/>
    <w:rsid w:val="007D103B"/>
    <w:rsid w:val="007D36A3"/>
    <w:rsid w:val="00837243"/>
    <w:rsid w:val="009E6CD8"/>
    <w:rsid w:val="00A01226"/>
    <w:rsid w:val="00A05941"/>
    <w:rsid w:val="00A32850"/>
    <w:rsid w:val="00A77F17"/>
    <w:rsid w:val="00AF7E0B"/>
    <w:rsid w:val="00B03BE2"/>
    <w:rsid w:val="00B84906"/>
    <w:rsid w:val="00C018E1"/>
    <w:rsid w:val="00C05F36"/>
    <w:rsid w:val="00C80B6F"/>
    <w:rsid w:val="00EC0821"/>
    <w:rsid w:val="00EE6734"/>
    <w:rsid w:val="00F52B47"/>
    <w:rsid w:val="00F7642C"/>
    <w:rsid w:val="00FB05E6"/>
    <w:rsid w:val="00FD7455"/>
    <w:rsid w:val="104A0B40"/>
    <w:rsid w:val="242A0438"/>
    <w:rsid w:val="257836DE"/>
    <w:rsid w:val="3B772900"/>
    <w:rsid w:val="3C7D6C7C"/>
    <w:rsid w:val="5CB426FE"/>
    <w:rsid w:val="72F21A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character" w:default="1" w:styleId="12">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25"/>
    <w:semiHidden/>
    <w:unhideWhenUsed/>
    <w:qFormat/>
    <w:uiPriority w:val="99"/>
    <w:rPr>
      <w:b/>
      <w:bCs/>
    </w:rPr>
  </w:style>
  <w:style w:type="paragraph" w:styleId="4">
    <w:name w:val="annotation text"/>
    <w:basedOn w:val="1"/>
    <w:link w:val="22"/>
    <w:unhideWhenUsed/>
    <w:qFormat/>
    <w:uiPriority w:val="99"/>
    <w:pPr>
      <w:jc w:val="left"/>
    </w:pPr>
  </w:style>
  <w:style w:type="paragraph" w:styleId="5">
    <w:name w:val="toc 3"/>
    <w:basedOn w:val="1"/>
    <w:next w:val="1"/>
    <w:unhideWhenUsed/>
    <w:qFormat/>
    <w:uiPriority w:val="39"/>
    <w:pPr>
      <w:ind w:left="840" w:leftChars="400"/>
    </w:pPr>
  </w:style>
  <w:style w:type="paragraph" w:styleId="6">
    <w:name w:val="Date"/>
    <w:basedOn w:val="1"/>
    <w:next w:val="1"/>
    <w:link w:val="23"/>
    <w:semiHidden/>
    <w:unhideWhenUsed/>
    <w:qFormat/>
    <w:uiPriority w:val="99"/>
    <w:pPr>
      <w:ind w:left="100" w:leftChars="2500"/>
    </w:pPr>
  </w:style>
  <w:style w:type="paragraph" w:styleId="7">
    <w:name w:val="Balloon Text"/>
    <w:basedOn w:val="1"/>
    <w:link w:val="24"/>
    <w:semiHidden/>
    <w:unhideWhenUsed/>
    <w:qFormat/>
    <w:uiPriority w:val="99"/>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tabs>
        <w:tab w:val="right" w:leader="dot" w:pos="8296"/>
      </w:tabs>
      <w:spacing w:line="360" w:lineRule="auto"/>
      <w:jc w:val="center"/>
    </w:pPr>
    <w:rPr>
      <w:rFonts w:ascii="仿宋_GB2312" w:hAnsi="黑体" w:eastAsia="仿宋_GB2312"/>
      <w:b/>
      <w:sz w:val="28"/>
      <w:szCs w:val="28"/>
    </w:rPr>
  </w:style>
  <w:style w:type="paragraph" w:styleId="11">
    <w:name w:val="toc 2"/>
    <w:basedOn w:val="1"/>
    <w:next w:val="1"/>
    <w:unhideWhenUsed/>
    <w:qFormat/>
    <w:uiPriority w:val="39"/>
    <w:pPr>
      <w:ind w:left="420" w:leftChars="200"/>
    </w:pPr>
  </w:style>
  <w:style w:type="character" w:styleId="13">
    <w:name w:val="FollowedHyperlink"/>
    <w:basedOn w:val="12"/>
    <w:semiHidden/>
    <w:unhideWhenUsed/>
    <w:qFormat/>
    <w:uiPriority w:val="99"/>
    <w:rPr>
      <w:color w:val="954F72" w:themeColor="followedHyperlink"/>
      <w:u w:val="single"/>
      <w14:textFill>
        <w14:solidFill>
          <w14:schemeClr w14:val="folHlink"/>
        </w14:solidFill>
      </w14:textFill>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styleId="15">
    <w:name w:val="annotation reference"/>
    <w:basedOn w:val="12"/>
    <w:unhideWhenUsed/>
    <w:qFormat/>
    <w:uiPriority w:val="99"/>
    <w:rPr>
      <w:sz w:val="21"/>
      <w:szCs w:val="21"/>
    </w:rPr>
  </w:style>
  <w:style w:type="character" w:styleId="16">
    <w:name w:val="footnote reference"/>
    <w:basedOn w:val="12"/>
    <w:semiHidden/>
    <w:unhideWhenUsed/>
    <w:qFormat/>
    <w:uiPriority w:val="99"/>
    <w:rPr>
      <w:vertAlign w:val="superscript"/>
    </w:rPr>
  </w:style>
  <w:style w:type="table" w:styleId="18">
    <w:name w:val="Table Grid"/>
    <w:basedOn w:val="17"/>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标题 1 字符"/>
    <w:basedOn w:val="12"/>
    <w:link w:val="2"/>
    <w:qFormat/>
    <w:uiPriority w:val="9"/>
    <w:rPr>
      <w:b/>
      <w:bCs/>
      <w:kern w:val="44"/>
      <w:sz w:val="44"/>
      <w:szCs w:val="44"/>
    </w:rPr>
  </w:style>
  <w:style w:type="character" w:customStyle="1" w:styleId="20">
    <w:name w:val="页脚 字符"/>
    <w:basedOn w:val="12"/>
    <w:link w:val="8"/>
    <w:qFormat/>
    <w:uiPriority w:val="99"/>
    <w:rPr>
      <w:sz w:val="18"/>
      <w:szCs w:val="18"/>
    </w:rPr>
  </w:style>
  <w:style w:type="character" w:customStyle="1" w:styleId="21">
    <w:name w:val="页眉 字符"/>
    <w:basedOn w:val="12"/>
    <w:link w:val="9"/>
    <w:qFormat/>
    <w:uiPriority w:val="99"/>
    <w:rPr>
      <w:sz w:val="18"/>
      <w:szCs w:val="18"/>
    </w:rPr>
  </w:style>
  <w:style w:type="character" w:customStyle="1" w:styleId="22">
    <w:name w:val="批注文字 字符"/>
    <w:basedOn w:val="12"/>
    <w:link w:val="4"/>
    <w:qFormat/>
    <w:uiPriority w:val="99"/>
  </w:style>
  <w:style w:type="character" w:customStyle="1" w:styleId="23">
    <w:name w:val="日期 字符"/>
    <w:basedOn w:val="12"/>
    <w:link w:val="6"/>
    <w:semiHidden/>
    <w:qFormat/>
    <w:uiPriority w:val="99"/>
  </w:style>
  <w:style w:type="character" w:customStyle="1" w:styleId="24">
    <w:name w:val="批注框文本 字符"/>
    <w:basedOn w:val="12"/>
    <w:link w:val="7"/>
    <w:semiHidden/>
    <w:qFormat/>
    <w:uiPriority w:val="99"/>
    <w:rPr>
      <w:sz w:val="18"/>
      <w:szCs w:val="18"/>
    </w:rPr>
  </w:style>
  <w:style w:type="character" w:customStyle="1" w:styleId="25">
    <w:name w:val="批注主题 字符"/>
    <w:basedOn w:val="22"/>
    <w:link w:val="3"/>
    <w:semiHidden/>
    <w:qFormat/>
    <w:uiPriority w:val="99"/>
    <w:rPr>
      <w:b/>
      <w:bCs/>
    </w:rPr>
  </w:style>
  <w:style w:type="character" w:customStyle="1" w:styleId="26">
    <w:name w:val="访问过的超链接1"/>
    <w:basedOn w:val="12"/>
    <w:semiHidden/>
    <w:unhideWhenUsed/>
    <w:qFormat/>
    <w:uiPriority w:val="99"/>
    <w:rPr>
      <w:color w:val="954F72"/>
      <w:u w:val="single"/>
    </w:rPr>
  </w:style>
  <w:style w:type="character" w:customStyle="1" w:styleId="27">
    <w:name w:val="超链接1"/>
    <w:basedOn w:val="12"/>
    <w:unhideWhenUsed/>
    <w:qFormat/>
    <w:uiPriority w:val="99"/>
    <w:rPr>
      <w:color w:val="0563C1"/>
      <w:u w:val="single"/>
    </w:rPr>
  </w:style>
  <w:style w:type="character" w:customStyle="1" w:styleId="28">
    <w:name w:val="high-light-bg4"/>
    <w:basedOn w:val="12"/>
    <w:qFormat/>
    <w:uiPriority w:val="0"/>
  </w:style>
  <w:style w:type="table" w:customStyle="1" w:styleId="29">
    <w:name w:val="网格型1"/>
    <w:basedOn w:val="17"/>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0">
    <w:name w:val="网格型11"/>
    <w:basedOn w:val="17"/>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31">
    <w:name w:val="普通文字"/>
    <w:basedOn w:val="1"/>
    <w:qFormat/>
    <w:uiPriority w:val="0"/>
    <w:pPr>
      <w:widowControl/>
      <w:jc w:val="left"/>
    </w:pPr>
    <w:rPr>
      <w:rFonts w:ascii="宋体" w:hAnsi="Courier New" w:eastAsia="宋体" w:cs="宋体"/>
      <w:kern w:val="0"/>
      <w:szCs w:val="21"/>
    </w:rPr>
  </w:style>
  <w:style w:type="paragraph" w:customStyle="1" w:styleId="32">
    <w:name w:val="Default"/>
    <w:qFormat/>
    <w:uiPriority w:val="0"/>
    <w:pPr>
      <w:widowControl w:val="0"/>
      <w:autoSpaceDE w:val="0"/>
      <w:autoSpaceDN w:val="0"/>
      <w:adjustRightInd w:val="0"/>
    </w:pPr>
    <w:rPr>
      <w:rFonts w:ascii="Times New Roman" w:hAnsi="Times New Roman" w:cs="Times New Roman" w:eastAsiaTheme="minorEastAsia"/>
      <w:color w:val="000000"/>
      <w:kern w:val="0"/>
      <w:sz w:val="24"/>
      <w:szCs w:val="24"/>
      <w:lang w:val="en-US" w:eastAsia="zh-CN" w:bidi="ar-SA"/>
    </w:rPr>
  </w:style>
  <w:style w:type="paragraph" w:customStyle="1" w:styleId="33">
    <w:name w:val="CM1"/>
    <w:basedOn w:val="32"/>
    <w:next w:val="32"/>
    <w:qFormat/>
    <w:uiPriority w:val="99"/>
    <w:rPr>
      <w:rFonts w:ascii="EUAlbertina" w:hAnsi="Calibri" w:eastAsia="EUAlbertina"/>
      <w:color w:val="auto"/>
    </w:rPr>
  </w:style>
  <w:style w:type="paragraph" w:customStyle="1" w:styleId="34">
    <w:name w:val="CM3"/>
    <w:basedOn w:val="32"/>
    <w:next w:val="32"/>
    <w:qFormat/>
    <w:uiPriority w:val="99"/>
    <w:rPr>
      <w:rFonts w:ascii="EUAlbertina" w:hAnsi="Calibri" w:eastAsia="EUAlbertina"/>
      <w:color w:val="auto"/>
    </w:rPr>
  </w:style>
  <w:style w:type="paragraph" w:styleId="35">
    <w:name w:val="List Paragraph"/>
    <w:basedOn w:val="1"/>
    <w:qFormat/>
    <w:uiPriority w:val="99"/>
    <w:pPr>
      <w:ind w:firstLine="420" w:firstLineChars="200"/>
    </w:pPr>
  </w:style>
  <w:style w:type="paragraph" w:customStyle="1" w:styleId="36">
    <w:name w:val="TOC 标题1"/>
    <w:basedOn w:val="2"/>
    <w:next w:val="1"/>
    <w:unhideWhenUsed/>
    <w:qFormat/>
    <w:uiPriority w:val="39"/>
    <w:pPr>
      <w:widowControl/>
      <w:spacing w:before="240" w:after="0" w:line="259" w:lineRule="auto"/>
      <w:jc w:val="left"/>
      <w:outlineLvl w:val="9"/>
    </w:pPr>
    <w:rPr>
      <w:rFonts w:ascii="等线 Light" w:hAnsi="等线 Light" w:eastAsia="等线 Light" w:cs="Times New Roman"/>
      <w:b w:val="0"/>
      <w:bCs w:val="0"/>
      <w:color w:val="2E74B5"/>
      <w:kern w:val="0"/>
      <w:sz w:val="32"/>
      <w:szCs w:val="32"/>
    </w:rPr>
  </w:style>
  <w:style w:type="character" w:customStyle="1" w:styleId="37">
    <w:name w:val="批注文字 字符1"/>
    <w:basedOn w:val="12"/>
    <w:semiHidden/>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FDEF33-F8BD-4535-BCC7-A57650720F73}">
  <ds:schemaRefs/>
</ds:datastoreItem>
</file>

<file path=docProps/app.xml><?xml version="1.0" encoding="utf-8"?>
<Properties xmlns="http://schemas.openxmlformats.org/officeDocument/2006/extended-properties" xmlns:vt="http://schemas.openxmlformats.org/officeDocument/2006/docPropsVTypes">
  <Template>Normal</Template>
  <Pages>58</Pages>
  <Words>4867</Words>
  <Characters>27743</Characters>
  <Lines>231</Lines>
  <Paragraphs>65</Paragraphs>
  <TotalTime>4</TotalTime>
  <ScaleCrop>false</ScaleCrop>
  <LinksUpToDate>false</LinksUpToDate>
  <CharactersWithSpaces>32545</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2020-04-21T21:26:00Z</dcterms:created>
  <dc:creator>admin</dc:creator>
  <cp:lastModifiedBy>user</cp:lastModifiedBy>
  <dcterms:modified xsi:type="dcterms:W3CDTF">2020-04-30T03:11:33Z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